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11827" w:val="clear"/>
            <w:tcMar>
              <w:top w:type="dxa" w:w="560"/>
              <w:left w:type="dxa" w:w="480"/>
              <w:bottom w:type="dxa" w:w="560"/>
              <w:right w:type="dxa" w:w="480"/>
            </w:tcMar>
          </w:tcPr>
          <w:p>
            <w:pPr>
              <w:spacing w:after="100" w:before="0"/>
              <w:jc w:val="center"/>
            </w:pPr>
            <w:r>
              <w:rPr>
                <w:rFonts w:ascii="Arial" w:cs="Arial" w:eastAsia="Arial" w:hAnsi="Arial"/>
                <w:b/>
                <w:bCs/>
                <w:color w:val="C9A84C"/>
                <w:spacing w:val="120"/>
                <w:sz w:val="64"/>
                <w:szCs w:val="64"/>
              </w:rPr>
              <w:t xml:space="preserve">ORACLE</w:t>
            </w:r>
          </w:p>
          <w:p>
            <w:pPr>
              <w:spacing w:after="80" w:before="0"/>
              <w:jc w:val="center"/>
            </w:pPr>
            <w:r>
              <w:rPr>
                <w:rFonts w:ascii="Arial" w:cs="Arial" w:eastAsia="Arial" w:hAnsi="Arial"/>
                <w:color w:val="F2EFE9"/>
                <w:sz w:val="24"/>
                <w:szCs w:val="24"/>
              </w:rPr>
              <w:t xml:space="preserve">v1.7 Performance Review  &amp;  v1.8 Feature Overview</w:t>
            </w:r>
          </w:p>
          <w:p>
            <w:pPr>
              <w:spacing w:after="0" w:before="0"/>
              <w:jc w:val="center"/>
            </w:pPr>
            <w:r>
              <w:rPr>
                <w:rFonts w:ascii="Courier New" w:cs="Courier New" w:eastAsia="Courier New" w:hAnsi="Courier New"/>
                <w:color w:val="00B4A0"/>
                <w:spacing w:val="40"/>
                <w:sz w:val="16"/>
                <w:szCs w:val="16"/>
              </w:rPr>
              <w:t xml:space="preserve">FORWARD TEST W1–W3  ·  19 MAY – 5 JUNE 2026  ·  NQ / MNQ FUTURES</w:t>
            </w:r>
          </w:p>
        </w:tc>
      </w:tr>
    </w:tbl>
    <w:p>
      <w:pPr>
        <w:spacing w:after="0" w:before="280"/>
      </w:pPr>
      <w:r>
        <w:rPr>
          <w:sz w:val="4"/>
          <w:szCs w:val="4"/>
        </w:rPr>
        <w:t xml:space="preserve"/>
      </w:r>
    </w:p>
    <w:p>
      <w:pPr>
        <w:pBdr>
          <w:bottom w:val="single" w:color="C9A84C" w:sz="4" w:space="6"/>
        </w:pBdr>
        <w:spacing w:after="160" w:before="360"/>
      </w:pPr>
      <w:r>
        <w:rPr>
          <w:rFonts w:ascii="Arial" w:cs="Arial" w:eastAsia="Arial" w:hAnsi="Arial"/>
          <w:b/>
          <w:bCs/>
          <w:color w:val="C9A84C"/>
          <w:sz w:val="32"/>
          <w:szCs w:val="32"/>
        </w:rPr>
        <w:t xml:space="preserve">Part 1 — Oracle v1.7 Performance Review</w:t>
      </w:r>
    </w:p>
    <w:p>
      <w:pPr>
        <w:spacing w:after="100" w:before="60"/>
      </w:pPr>
      <w:r>
        <w:rPr>
          <w:rFonts w:ascii="Arial" w:cs="Arial" w:eastAsia="Arial" w:hAnsi="Arial"/>
          <w:b w:val="false"/>
          <w:bCs w:val="false"/>
          <w:i/>
          <w:iCs/>
          <w:color w:val="2D2D2D"/>
          <w:sz w:val="22"/>
          <w:szCs w:val="22"/>
        </w:rPr>
        <w:t xml:space="preserve">Oracle v1.7 has been forward tested live on a prop firm account across three weeks of trading from 19 May 2026. The data tells a clear and consistent story.</w:t>
      </w:r>
    </w:p>
    <w:p>
      <w:pPr>
        <w:spacing w:after="0" w:before="120"/>
      </w:pPr>
      <w:r>
        <w:rPr>
          <w:sz w:val="4"/>
          <w:szCs w:val="4"/>
        </w:rPr>
        <w:t xml:space="preserve"/>
      </w:r>
    </w:p>
    <w:p>
      <w:pPr>
        <w:spacing w:after="100" w:before="280"/>
      </w:pPr>
      <w:r>
        <w:rPr>
          <w:rFonts w:ascii="Arial" w:cs="Arial" w:eastAsia="Arial" w:hAnsi="Arial"/>
          <w:b/>
          <w:bCs/>
          <w:color w:val="111827"/>
          <w:sz w:val="26"/>
          <w:szCs w:val="26"/>
        </w:rPr>
        <w:t xml:space="preserve">What Has Worked</w:t>
      </w:r>
    </w:p>
    <w:p>
      <w:pPr>
        <w:spacing w:after="100" w:before="60"/>
      </w:pPr>
      <w:r>
        <w:rPr>
          <w:rFonts w:ascii="Arial" w:cs="Arial" w:eastAsia="Arial" w:hAnsi="Arial"/>
          <w:b w:val="false"/>
          <w:bCs w:val="false"/>
          <w:i w:val="false"/>
          <w:iCs w:val="false"/>
          <w:color w:val="2D2D2D"/>
          <w:sz w:val="22"/>
          <w:szCs w:val="22"/>
        </w:rPr>
        <w:t xml:space="preserve">The entry identification engine is the standout success. Oracle has consistently found the right trades at the right structural levels under live market conditions, including two major news events. The core strategy logic is validated.</w:t>
      </w:r>
    </w:p>
    <w:p>
      <w:pPr>
        <w:spacing w:after="0" w:before="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What Works</w:t>
            </w:r>
          </w:p>
        </w:tc>
        <w:tc>
          <w:tcPr>
            <w:tcW w:type="dxa" w:w="57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Evidence</w:t>
            </w:r>
          </w:p>
        </w:tc>
      </w:tr>
      <w:tr>
        <w:tc>
          <w:tcPr>
            <w:tcW w:type="dxa" w:w="3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Structural level detection</w:t>
            </w:r>
          </w:p>
        </w:tc>
        <w:tc>
          <w:tcPr>
            <w:tcW w:type="dxa" w:w="57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Every entry traced to a named level</w:t>
            </w:r>
          </w:p>
        </w:tc>
      </w:tr>
      <w:tr>
        <w:tc>
          <w:tcPr>
            <w:tcW w:type="dxa" w:w="36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Momentum exhaustion gate</w:t>
            </w:r>
          </w:p>
        </w:tc>
        <w:tc>
          <w:tcPr>
            <w:tcW w:type="dxa" w:w="57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A+ grades preceded the strongest moves</w:t>
            </w:r>
          </w:p>
        </w:tc>
      </w:tr>
      <w:tr>
        <w:tc>
          <w:tcPr>
            <w:tcW w:type="dxa" w:w="3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Blackout protection</w:t>
            </w:r>
          </w:p>
        </w:tc>
        <w:tc>
          <w:tcPr>
            <w:tcW w:type="dxa" w:w="57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3 macro events — zero exposure on all</w:t>
            </w:r>
          </w:p>
        </w:tc>
      </w:tr>
      <w:tr>
        <w:tc>
          <w:tcPr>
            <w:tcW w:type="dxa" w:w="36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Structural TP routing</w:t>
            </w:r>
          </w:p>
        </w:tc>
        <w:tc>
          <w:tcPr>
            <w:tcW w:type="dxa" w:w="57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Clean exits — W3 D1, D2, D3 confirmed</w:t>
            </w:r>
          </w:p>
        </w:tc>
      </w:tr>
      <w:tr>
        <w:tc>
          <w:tcPr>
            <w:tcW w:type="dxa" w:w="3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Daily loss limit</w:t>
            </w:r>
          </w:p>
        </w:tc>
        <w:tc>
          <w:tcPr>
            <w:tcW w:type="dxa" w:w="57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Capped damage on W3 D4 and D5</w:t>
            </w:r>
          </w:p>
        </w:tc>
      </w:tr>
      <w:tr>
        <w:tc>
          <w:tcPr>
            <w:tcW w:type="dxa" w:w="36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bCs/>
                <w:color w:val="4CAF82"/>
                <w:sz w:val="20"/>
                <w:szCs w:val="20"/>
              </w:rPr>
              <w:t xml:space="preserve">Best-day capture</w:t>
            </w:r>
          </w:p>
        </w:tc>
        <w:tc>
          <w:tcPr>
            <w:tcW w:type="dxa" w:w="57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bCs/>
                <w:color w:val="4CAF82"/>
                <w:sz w:val="20"/>
                <w:szCs w:val="20"/>
              </w:rPr>
              <w:t xml:space="preserve">W3 D1 +$3,090 on a news day</w:t>
            </w:r>
          </w:p>
        </w:tc>
      </w:tr>
    </w:tbl>
    <w:p>
      <w:pPr>
        <w:spacing w:after="0" w:before="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4CAF82" w:sz="2"/>
              <w:left w:val="single" w:color="4CAF82" w:sz="16"/>
              <w:bottom w:val="single" w:color="4CAF82" w:sz="2"/>
              <w:right w:val="single" w:color="4CAF82" w:sz="2"/>
            </w:tcBorders>
            <w:shd w:fill="F9F7F2" w:val="clear"/>
            <w:tcMar>
              <w:top w:type="dxa" w:w="140"/>
              <w:left w:type="dxa" w:w="260"/>
              <w:bottom w:type="dxa" w:w="140"/>
              <w:right w:type="dxa" w:w="260"/>
            </w:tcMar>
          </w:tcPr>
          <w:p>
            <w:pPr>
              <w:spacing w:after="50" w:before="0"/>
            </w:pPr>
            <w:r>
              <w:rPr>
                <w:rFonts w:ascii="Arial" w:cs="Arial" w:eastAsia="Arial" w:hAnsi="Arial"/>
                <w:b/>
                <w:bCs/>
                <w:color w:val="4CAF82"/>
                <w:spacing w:val="40"/>
                <w:sz w:val="16"/>
                <w:szCs w:val="16"/>
              </w:rPr>
              <w:t xml:space="preserve">THE NUMBERS</w:t>
            </w:r>
          </w:p>
          <w:p>
            <w:pPr>
              <w:spacing w:after="0" w:before="0"/>
            </w:pPr>
            <w:r>
              <w:rPr>
                <w:rFonts w:ascii="Arial" w:cs="Arial" w:eastAsia="Arial" w:hAnsi="Arial"/>
                <w:i/>
                <w:iCs/>
                <w:color w:val="2D2D2D"/>
                <w:sz w:val="21"/>
                <w:szCs w:val="21"/>
              </w:rPr>
              <w:t xml:space="preserve">W3 closed at +$5,855 — the strongest week of the forward test. Annual pace tracked between 107% and 129% through W3. On the good days, Oracle did exactly what it was designed to do.</w:t>
            </w:r>
          </w:p>
        </w:tc>
      </w:tr>
    </w:tbl>
    <w:p>
      <w:pPr>
        <w:spacing w:after="0" w:before="160"/>
      </w:pPr>
      <w:r>
        <w:rPr>
          <w:sz w:val="4"/>
          <w:szCs w:val="4"/>
        </w:rPr>
        <w:t xml:space="preserve"/>
      </w:r>
    </w:p>
    <w:p>
      <w:pPr>
        <w:spacing w:after="100" w:before="280"/>
      </w:pPr>
      <w:r>
        <w:rPr>
          <w:rFonts w:ascii="Arial" w:cs="Arial" w:eastAsia="Arial" w:hAnsi="Arial"/>
          <w:b/>
          <w:bCs/>
          <w:color w:val="111827"/>
          <w:sz w:val="26"/>
          <w:szCs w:val="26"/>
        </w:rPr>
        <w:t xml:space="preserve">What Hasn't Worked</w:t>
      </w:r>
    </w:p>
    <w:p>
      <w:pPr>
        <w:spacing w:after="100" w:before="60"/>
      </w:pPr>
      <w:r>
        <w:rPr>
          <w:rFonts w:ascii="Arial" w:cs="Arial" w:eastAsia="Arial" w:hAnsi="Arial"/>
          <w:b w:val="false"/>
          <w:bCs w:val="false"/>
          <w:i w:val="false"/>
          <w:iCs w:val="false"/>
          <w:color w:val="2D2D2D"/>
          <w:sz w:val="22"/>
          <w:szCs w:val="22"/>
        </w:rPr>
        <w:t xml:space="preserve">Three specific architectural gaps account for nearly all the damage. None of these are entry-quality problems — Oracle finds the right trades. The failures are all in what happens around the entry.</w:t>
      </w:r>
    </w:p>
    <w:p>
      <w:pPr>
        <w:spacing w:after="0" w:before="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5400"/>
      </w:tblGrid>
      <w:tr>
        <w:trPr>
          <w:tblHeader/>
        </w:trPr>
        <w:tc>
          <w:tcPr>
            <w:tcW w:type="dxa" w:w="39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Problem</w:t>
            </w:r>
          </w:p>
        </w:tc>
        <w:tc>
          <w:tcPr>
            <w:tcW w:type="dxa" w:w="540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Impact</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bCs/>
                <w:color w:val="E05252"/>
                <w:sz w:val="20"/>
                <w:szCs w:val="20"/>
              </w:rPr>
              <w:t xml:space="preserve">Sustained trend suppression gap</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Counter-trend entries — 7 confirmed losses</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Breakeven mechanism</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Scratched winning trades prematurely (8 instances)</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Persistent flip arm gap</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Missed retests — 340pt and 350pt moves lost</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Single exit architecture</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Captured first target only — left large moves</w:t>
            </w:r>
          </w:p>
        </w:tc>
      </w:tr>
    </w:tbl>
    <w:p>
      <w:pPr>
        <w:spacing w:after="0" w:before="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05252" w:sz="2"/>
              <w:left w:val="single" w:color="E05252" w:sz="16"/>
              <w:bottom w:val="single" w:color="E05252" w:sz="2"/>
              <w:right w:val="single" w:color="E05252" w:sz="2"/>
            </w:tcBorders>
            <w:shd w:fill="F9F7F2" w:val="clear"/>
            <w:tcMar>
              <w:top w:type="dxa" w:w="140"/>
              <w:left w:type="dxa" w:w="260"/>
              <w:bottom w:type="dxa" w:w="140"/>
              <w:right w:type="dxa" w:w="260"/>
            </w:tcMar>
          </w:tcPr>
          <w:p>
            <w:pPr>
              <w:spacing w:after="50" w:before="0"/>
            </w:pPr>
            <w:r>
              <w:rPr>
                <w:rFonts w:ascii="Arial" w:cs="Arial" w:eastAsia="Arial" w:hAnsi="Arial"/>
                <w:b/>
                <w:bCs/>
                <w:color w:val="E05252"/>
                <w:spacing w:val="40"/>
                <w:sz w:val="16"/>
                <w:szCs w:val="16"/>
              </w:rPr>
              <w:t xml:space="preserve">THE HONEST ASSESSMENT</w:t>
            </w:r>
          </w:p>
          <w:p>
            <w:pPr>
              <w:spacing w:after="0" w:before="0"/>
            </w:pPr>
            <w:r>
              <w:rPr>
                <w:rFonts w:ascii="Arial" w:cs="Arial" w:eastAsia="Arial" w:hAnsi="Arial"/>
                <w:i/>
                <w:iCs/>
                <w:color w:val="2D2D2D"/>
                <w:sz w:val="21"/>
                <w:szCs w:val="21"/>
              </w:rPr>
              <w:t xml:space="preserve">None of these are entry-quality problems. Oracle finds the right trades. The failures are all in what happens around the entry — fighting the macro direction, exiting too early, missing delayed retests, and capturing only a fraction of each move.</w:t>
            </w:r>
          </w:p>
        </w:tc>
      </w:tr>
    </w:tbl>
    <w:p>
      <w:pPr>
        <w:spacing w:after="0" w:before="80"/>
      </w:pPr>
      <w:r>
        <w:rPr>
          <w:sz w:val="4"/>
          <w:szCs w:val="4"/>
        </w:rPr>
        <w:t xml:space="preserve"/>
      </w:r>
    </w:p>
    <w:p>
      <w:pPr>
        <w:spacing w:after="80" w:before="200"/>
      </w:pPr>
      <w:r>
        <w:rPr>
          <w:rFonts w:ascii="Arial" w:cs="Arial" w:eastAsia="Arial" w:hAnsi="Arial"/>
          <w:b/>
          <w:bCs/>
          <w:color w:val="00B4A0"/>
          <w:spacing w:val="40"/>
          <w:sz w:val="18"/>
          <w:szCs w:val="18"/>
        </w:rPr>
        <w:t xml:space="preserve">ADDITIONAL ITEMS LOGGED</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Display bugs: stale label prices, London session crediting to NY, weekly reset flag persisting</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Dashboard: 52-contract miscalculation needs a sensible cap</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Signal logic: bullish momentum candle fired a short entry — directional conflict</w:t>
      </w:r>
    </w:p>
    <w:p>
      <w:r>
        <w:br w:type="page"/>
      </w:r>
    </w:p>
    <w:p>
      <w:pPr>
        <w:pBdr>
          <w:bottom w:val="single" w:color="C9A84C" w:sz="4" w:space="6"/>
        </w:pBdr>
        <w:spacing w:after="160" w:before="360"/>
      </w:pPr>
      <w:r>
        <w:rPr>
          <w:rFonts w:ascii="Arial" w:cs="Arial" w:eastAsia="Arial" w:hAnsi="Arial"/>
          <w:b/>
          <w:bCs/>
          <w:color w:val="C9A84C"/>
          <w:sz w:val="32"/>
          <w:szCs w:val="32"/>
        </w:rPr>
        <w:t xml:space="preserve">Part 2 — Oracle v1.8 Upcoming Features</w:t>
      </w:r>
    </w:p>
    <w:p>
      <w:pPr>
        <w:spacing w:after="100" w:before="60"/>
      </w:pPr>
      <w:r>
        <w:rPr>
          <w:rFonts w:ascii="Arial" w:cs="Arial" w:eastAsia="Arial" w:hAnsi="Arial"/>
          <w:b w:val="false"/>
          <w:bCs w:val="false"/>
          <w:i/>
          <w:iCs/>
          <w:color w:val="2D2D2D"/>
          <w:sz w:val="22"/>
          <w:szCs w:val="22"/>
        </w:rPr>
        <w:t xml:space="preserve">v1.8 is an evolution, not a replacement. The entry engine stays. Everything around it gets smarter. Each feature traces directly to specific forward test evidence — nothing is speculative.</w:t>
      </w:r>
    </w:p>
    <w:p>
      <w:pPr>
        <w:spacing w:after="0" w:before="120"/>
      </w:pPr>
      <w:r>
        <w:rPr>
          <w:sz w:val="4"/>
          <w:szCs w:val="4"/>
        </w:rPr>
        <w:t xml:space="preserve"/>
      </w:r>
    </w:p>
    <w:p>
      <w:pPr>
        <w:spacing w:after="80" w:before="200"/>
      </w:pPr>
      <w:r>
        <w:rPr>
          <w:rFonts w:ascii="Arial" w:cs="Arial" w:eastAsia="Arial" w:hAnsi="Arial"/>
          <w:b/>
          <w:bCs/>
          <w:color w:val="00B4A0"/>
          <w:spacing w:val="40"/>
          <w:sz w:val="18"/>
          <w:szCs w:val="18"/>
        </w:rPr>
        <w:t xml:space="preserve">THE CRITICAL FIXES</w:t>
      </w:r>
    </w:p>
    <w:p>
      <w:pPr>
        <w:spacing w:after="0" w:before="6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5400"/>
      </w:tblGrid>
      <w:tr>
        <w:trPr>
          <w:tblHeader/>
        </w:trPr>
        <w:tc>
          <w:tcPr>
            <w:tcW w:type="dxa" w:w="39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Feature</w:t>
            </w:r>
          </w:p>
        </w:tc>
        <w:tc>
          <w:tcPr>
            <w:tcW w:type="dxa" w:w="540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What It Solves</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bCs/>
                <w:color w:val="2D2D2D"/>
                <w:sz w:val="20"/>
                <w:szCs w:val="20"/>
              </w:rPr>
              <w:t xml:space="preserve">Sustained trend suppression + redirect</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Stops counter-trend entries; redirects to correct direction</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bCs/>
                <w:color w:val="2D2D2D"/>
                <w:sz w:val="20"/>
                <w:szCs w:val="20"/>
              </w:rPr>
              <w:t xml:space="preserve">Partial exit architecture (P1/P2/Runner)</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Replaces single exit; captures the full structural move</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Breakeven removal</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Replaced by P1 profit lock — no more zero scratches</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Persistent flip arm</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Levels stay armed for retests — no 15-bar expiry</w:t>
            </w:r>
          </w:p>
        </w:tc>
      </w:tr>
    </w:tbl>
    <w:p>
      <w:pPr>
        <w:spacing w:after="0" w:before="140"/>
      </w:pPr>
      <w:r>
        <w:rPr>
          <w:sz w:val="4"/>
          <w:szCs w:val="4"/>
        </w:rPr>
        <w:t xml:space="preserve"/>
      </w:r>
    </w:p>
    <w:p>
      <w:pPr>
        <w:spacing w:after="80" w:before="200"/>
      </w:pPr>
      <w:r>
        <w:rPr>
          <w:rFonts w:ascii="Arial" w:cs="Arial" w:eastAsia="Arial" w:hAnsi="Arial"/>
          <w:b/>
          <w:bCs/>
          <w:color w:val="00B4A0"/>
          <w:spacing w:val="40"/>
          <w:sz w:val="18"/>
          <w:szCs w:val="18"/>
        </w:rPr>
        <w:t xml:space="preserve">THE NEW CAPABILITY LAYERS</w:t>
      </w:r>
    </w:p>
    <w:p>
      <w:pPr>
        <w:spacing w:after="0" w:before="6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5400"/>
      </w:tblGrid>
      <w:tr>
        <w:trPr>
          <w:tblHeader/>
        </w:trPr>
        <w:tc>
          <w:tcPr>
            <w:tcW w:type="dxa" w:w="39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Feature</w:t>
            </w:r>
          </w:p>
        </w:tc>
        <w:tc>
          <w:tcPr>
            <w:tcW w:type="dxa" w:w="540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What It Adds</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Fibonacci confluence</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0.618 alignment upgrades grade; conditional display</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FVG + Order Block detection</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SMC confluence — multi-reference auto A+ grading</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PO3 session phase</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Accumulation / Manipulation / Distribution awareness</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Instrument selector</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MNQ / MES dropdown with auto-calibrated parameters</w:t>
            </w:r>
          </w:p>
        </w:tc>
      </w:tr>
    </w:tbl>
    <w:p>
      <w:pPr>
        <w:spacing w:after="0" w:before="140"/>
      </w:pPr>
      <w:r>
        <w:rPr>
          <w:sz w:val="4"/>
          <w:szCs w:val="4"/>
        </w:rPr>
        <w:t xml:space="preserve"/>
      </w:r>
    </w:p>
    <w:p>
      <w:pPr>
        <w:spacing w:after="80" w:before="200"/>
      </w:pPr>
      <w:r>
        <w:rPr>
          <w:rFonts w:ascii="Arial" w:cs="Arial" w:eastAsia="Arial" w:hAnsi="Arial"/>
          <w:b/>
          <w:bCs/>
          <w:color w:val="00B4A0"/>
          <w:spacing w:val="40"/>
          <w:sz w:val="18"/>
          <w:szCs w:val="18"/>
        </w:rPr>
        <w:t xml:space="preserve">THE RISK &amp; CONVENIENCE ADDITIONS</w:t>
      </w:r>
    </w:p>
    <w:p>
      <w:pPr>
        <w:spacing w:after="0" w:before="6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5400"/>
      </w:tblGrid>
      <w:tr>
        <w:trPr>
          <w:tblHeader/>
        </w:trPr>
        <w:tc>
          <w:tcPr>
            <w:tcW w:type="dxa" w:w="39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Feature</w:t>
            </w:r>
          </w:p>
        </w:tc>
        <w:tc>
          <w:tcPr>
            <w:tcW w:type="dxa" w:w="540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20"/>
                <w:szCs w:val="20"/>
              </w:rPr>
              <w:t xml:space="preserve">What It Does</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bCs/>
                <w:color w:val="2D2D2D"/>
                <w:sz w:val="20"/>
                <w:szCs w:val="20"/>
              </w:rPr>
              <w:t xml:space="preserve">Weekly News Planner</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Enter news Sunday, lock it, hands-free all week</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Session risk scaling</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Auto-reduce contracts Fri / news / Grade B / loss streaks</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Pre-news position management</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Close or breakeven open positions before releases</w:t>
            </w:r>
          </w:p>
        </w:tc>
      </w:tr>
      <w:tr>
        <w:tc>
          <w:tcPr>
            <w:tcW w:type="dxa" w:w="39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Monthly profit target</w:t>
            </w:r>
          </w:p>
        </w:tc>
        <w:tc>
          <w:tcPr>
            <w:tcW w:type="dxa" w:w="540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20"/>
                <w:szCs w:val="20"/>
              </w:rPr>
              <w:t xml:space="preserve">Upgraded to functional target like daily/weekly</w:t>
            </w:r>
          </w:p>
        </w:tc>
      </w:tr>
      <w:tr>
        <w:tc>
          <w:tcPr>
            <w:tcW w:type="dxa" w:w="39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Grouped alerts</w:t>
            </w:r>
          </w:p>
        </w:tc>
        <w:tc>
          <w:tcPr>
            <w:tcW w:type="dxa" w:w="54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20"/>
                <w:szCs w:val="20"/>
              </w:rPr>
              <w:t xml:space="preserve">6 alerts covering 47 conditions</w:t>
            </w:r>
          </w:p>
        </w:tc>
      </w:tr>
    </w:tbl>
    <w:p>
      <w:r>
        <w:br w:type="page"/>
      </w:r>
    </w:p>
    <w:p>
      <w:pPr>
        <w:pBdr>
          <w:bottom w:val="single" w:color="C9A84C" w:sz="4" w:space="6"/>
        </w:pBdr>
        <w:spacing w:after="160" w:before="360"/>
      </w:pPr>
      <w:r>
        <w:rPr>
          <w:rFonts w:ascii="Arial" w:cs="Arial" w:eastAsia="Arial" w:hAnsi="Arial"/>
          <w:b/>
          <w:bCs/>
          <w:color w:val="C9A84C"/>
          <w:sz w:val="32"/>
          <w:szCs w:val="32"/>
        </w:rPr>
        <w:t xml:space="preserve">Part 3 — v1.7 vs v1.8 Comparison</w:t>
      </w:r>
    </w:p>
    <w:p>
      <w:pPr>
        <w:spacing w:after="0" w:before="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3360"/>
        <w:gridCol w:w="3360"/>
      </w:tblGrid>
      <w:tr>
        <w:trPr>
          <w:tblHeader/>
        </w:trPr>
        <w:tc>
          <w:tcPr>
            <w:tcW w:type="dxa" w:w="264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19"/>
                <w:szCs w:val="19"/>
              </w:rPr>
              <w:t xml:space="preserve">Dimension</w:t>
            </w:r>
          </w:p>
        </w:tc>
        <w:tc>
          <w:tcPr>
            <w:tcW w:type="dxa" w:w="33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19"/>
                <w:szCs w:val="19"/>
              </w:rPr>
              <w:t xml:space="preserve">v1.7</w:t>
            </w:r>
          </w:p>
        </w:tc>
        <w:tc>
          <w:tcPr>
            <w:tcW w:type="dxa" w:w="33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19"/>
                <w:szCs w:val="19"/>
              </w:rPr>
              <w:t xml:space="preserve">v1.8</w:t>
            </w:r>
          </w:p>
        </w:tc>
      </w:tr>
      <w:tr>
        <w:tc>
          <w:tcPr>
            <w:tcW w:type="dxa" w:w="264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Entry identification</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Excellent</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Same — unchanged</w:t>
            </w:r>
          </w:p>
        </w:tc>
      </w:tr>
      <w:tr>
        <w:tc>
          <w:tcPr>
            <w:tcW w:type="dxa" w:w="264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Macro context</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E05252"/>
                <w:sz w:val="19"/>
                <w:szCs w:val="19"/>
              </w:rPr>
              <w:t xml:space="preserve">None</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4CAF82"/>
                <w:sz w:val="19"/>
                <w:szCs w:val="19"/>
              </w:rPr>
              <w:t xml:space="preserve">Trend suppression + redirect</w:t>
            </w:r>
          </w:p>
        </w:tc>
      </w:tr>
      <w:tr>
        <w:tc>
          <w:tcPr>
            <w:tcW w:type="dxa" w:w="264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Exit</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Single TP / breakeven</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P1 / P2 / Runner</w:t>
            </w:r>
          </w:p>
        </w:tc>
      </w:tr>
      <w:tr>
        <w:tc>
          <w:tcPr>
            <w:tcW w:type="dxa" w:w="264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Missed retests</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E05252"/>
                <w:sz w:val="19"/>
                <w:szCs w:val="19"/>
              </w:rPr>
              <w:t xml:space="preserve">15-bar expiry</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4CAF82"/>
                <w:sz w:val="19"/>
                <w:szCs w:val="19"/>
              </w:rPr>
              <w:t xml:space="preserve">Persistent arm</w:t>
            </w:r>
          </w:p>
        </w:tc>
      </w:tr>
      <w:tr>
        <w:tc>
          <w:tcPr>
            <w:tcW w:type="dxa" w:w="264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Confluence</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Level + momentum</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 Fib + FVG + OB</w:t>
            </w:r>
          </w:p>
        </w:tc>
      </w:tr>
      <w:tr>
        <w:tc>
          <w:tcPr>
            <w:tcW w:type="dxa" w:w="264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News handling</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Manual windows</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4CAF82"/>
                <w:sz w:val="19"/>
                <w:szCs w:val="19"/>
              </w:rPr>
              <w:t xml:space="preserve">Weekly planner, hands-free</w:t>
            </w:r>
          </w:p>
        </w:tc>
      </w:tr>
      <w:tr>
        <w:tc>
          <w:tcPr>
            <w:tcW w:type="dxa" w:w="264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Position sizing</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Fixed</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Session risk scaling</w:t>
            </w:r>
          </w:p>
        </w:tc>
      </w:tr>
      <w:tr>
        <w:tc>
          <w:tcPr>
            <w:tcW w:type="dxa" w:w="264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Markets</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MNQ (manual MES)</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4CAF82"/>
                <w:sz w:val="19"/>
                <w:szCs w:val="19"/>
              </w:rPr>
              <w:t xml:space="preserve">MNQ / MES selector</w:t>
            </w:r>
          </w:p>
        </w:tc>
      </w:tr>
    </w:tbl>
    <w:p>
      <w:pPr>
        <w:spacing w:after="0" w:before="160"/>
      </w:pPr>
      <w:r>
        <w:rPr>
          <w:sz w:val="4"/>
          <w:szCs w:val="4"/>
        </w:rPr>
        <w:t xml:space="preserve"/>
      </w:r>
    </w:p>
    <w:p>
      <w:pPr>
        <w:spacing w:after="100" w:before="280"/>
      </w:pPr>
      <w:r>
        <w:rPr>
          <w:rFonts w:ascii="Arial" w:cs="Arial" w:eastAsia="Arial" w:hAnsi="Arial"/>
          <w:b/>
          <w:bCs/>
          <w:color w:val="111827"/>
          <w:sz w:val="26"/>
          <w:szCs w:val="26"/>
        </w:rPr>
        <w:t xml:space="preserve">What This Means in P&amp;L Terms</w:t>
      </w:r>
    </w:p>
    <w:p>
      <w:pPr>
        <w:spacing w:after="100" w:before="60"/>
      </w:pPr>
      <w:r>
        <w:rPr>
          <w:rFonts w:ascii="Arial" w:cs="Arial" w:eastAsia="Arial" w:hAnsi="Arial"/>
          <w:b w:val="false"/>
          <w:bCs w:val="false"/>
          <w:i w:val="false"/>
          <w:iCs w:val="false"/>
          <w:color w:val="2D2D2D"/>
          <w:sz w:val="22"/>
          <w:szCs w:val="22"/>
        </w:rPr>
        <w:t xml:space="preserve">Applying v1.8 architecture to confirmed v1.7 sessions:</w:t>
      </w:r>
    </w:p>
    <w:p>
      <w:pPr>
        <w:spacing w:after="0" w:before="8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3360"/>
        <w:gridCol w:w="3360"/>
      </w:tblGrid>
      <w:tr>
        <w:trPr>
          <w:tblHeader/>
        </w:trPr>
        <w:tc>
          <w:tcPr>
            <w:tcW w:type="dxa" w:w="264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19"/>
                <w:szCs w:val="19"/>
              </w:rPr>
              <w:t xml:space="preserve">Session</w:t>
            </w:r>
          </w:p>
        </w:tc>
        <w:tc>
          <w:tcPr>
            <w:tcW w:type="dxa" w:w="33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19"/>
                <w:szCs w:val="19"/>
              </w:rPr>
              <w:t xml:space="preserve">v1.7 Actual</w:t>
            </w:r>
          </w:p>
        </w:tc>
        <w:tc>
          <w:tcPr>
            <w:tcW w:type="dxa" w:w="3360"/>
            <w:tcBorders>
              <w:top w:val="single" w:color="CCCCCC" w:sz="1"/>
              <w:left w:val="single" w:color="CCCCCC" w:sz="1"/>
              <w:bottom w:val="single" w:color="CCCCCC" w:sz="1"/>
              <w:right w:val="single" w:color="CCCCCC" w:sz="1"/>
            </w:tcBorders>
            <w:shd w:fill="111827" w:val="clear"/>
            <w:tcMar>
              <w:top w:type="dxa" w:w="100"/>
              <w:left w:type="dxa" w:w="120"/>
              <w:bottom w:type="dxa" w:w="100"/>
              <w:right w:type="dxa" w:w="120"/>
            </w:tcMar>
          </w:tcPr>
          <w:p>
            <w:r>
              <w:rPr>
                <w:rFonts w:ascii="Arial" w:cs="Arial" w:eastAsia="Arial" w:hAnsi="Arial"/>
                <w:b/>
                <w:bCs/>
                <w:color w:val="C9A84C"/>
                <w:sz w:val="19"/>
                <w:szCs w:val="19"/>
              </w:rPr>
              <w:t xml:space="preserve">v1.8 Projected</w:t>
            </w:r>
          </w:p>
        </w:tc>
      </w:tr>
      <w:tr>
        <w:tc>
          <w:tcPr>
            <w:tcW w:type="dxa" w:w="264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W3 D4</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E05252"/>
                <w:sz w:val="19"/>
                <w:szCs w:val="19"/>
              </w:rPr>
              <w:t xml:space="preserve">-$345 (3 losses)</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Suppressed + redirect wins</w:t>
            </w:r>
          </w:p>
        </w:tc>
      </w:tr>
      <w:tr>
        <w:tc>
          <w:tcPr>
            <w:tcW w:type="dxa" w:w="264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W3 D5</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E05252"/>
                <w:sz w:val="19"/>
                <w:szCs w:val="19"/>
              </w:rPr>
              <w:t xml:space="preserve">Loss limit hit</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4CAF82"/>
                <w:sz w:val="19"/>
                <w:szCs w:val="19"/>
              </w:rPr>
              <w:t xml:space="preserve">Underside SHORT instead</w:t>
            </w:r>
          </w:p>
        </w:tc>
      </w:tr>
      <w:tr>
        <w:tc>
          <w:tcPr>
            <w:tcW w:type="dxa" w:w="264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2D2D2D"/>
                <w:sz w:val="19"/>
                <w:szCs w:val="19"/>
              </w:rPr>
              <w:t xml:space="preserve">RC-PARTIAL-01</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color w:val="4CAF82"/>
                <w:sz w:val="19"/>
                <w:szCs w:val="19"/>
              </w:rPr>
              <w:t xml:space="preserve">+$1,479</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bCs/>
                <w:color w:val="4CAF82"/>
                <w:sz w:val="19"/>
                <w:szCs w:val="19"/>
              </w:rPr>
              <w:t xml:space="preserve">~+$2,820</w:t>
            </w:r>
          </w:p>
        </w:tc>
      </w:tr>
      <w:tr>
        <w:tc>
          <w:tcPr>
            <w:tcW w:type="dxa" w:w="264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2D2D2D"/>
                <w:sz w:val="19"/>
                <w:szCs w:val="19"/>
              </w:rPr>
              <w:t xml:space="preserve">W3 full week</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val="false"/>
                <w:bCs w:val="false"/>
                <w:color w:val="4CAF82"/>
                <w:sz w:val="19"/>
                <w:szCs w:val="19"/>
              </w:rPr>
              <w:t xml:space="preserve">+$5,855</w:t>
            </w:r>
          </w:p>
        </w:tc>
        <w:tc>
          <w:tcPr>
            <w:tcW w:type="dxa" w:w="3360"/>
            <w:tcBorders>
              <w:top w:val="single" w:color="CCCCCC" w:sz="1"/>
              <w:left w:val="single" w:color="CCCCCC" w:sz="1"/>
              <w:bottom w:val="single" w:color="CCCCCC" w:sz="1"/>
              <w:right w:val="single" w:color="CCCCCC" w:sz="1"/>
            </w:tcBorders>
            <w:shd w:fill="F2F0EB" w:val="clear"/>
            <w:tcMar>
              <w:top w:type="dxa" w:w="80"/>
              <w:left w:type="dxa" w:w="120"/>
              <w:bottom w:type="dxa" w:w="80"/>
              <w:right w:type="dxa" w:w="120"/>
            </w:tcMar>
          </w:tcPr>
          <w:p>
            <w:r>
              <w:rPr>
                <w:rFonts w:ascii="Arial" w:cs="Arial" w:eastAsia="Arial" w:hAnsi="Arial"/>
                <w:b/>
                <w:bCs/>
                <w:color w:val="4CAF82"/>
                <w:sz w:val="19"/>
                <w:szCs w:val="19"/>
              </w:rPr>
              <w:t xml:space="preserve">~+$12,000 est</w:t>
            </w:r>
          </w:p>
        </w:tc>
      </w:tr>
    </w:tbl>
    <w:p>
      <w:pPr>
        <w:spacing w:after="0" w:before="100"/>
      </w:pPr>
      <w:r>
        <w:rPr>
          <w:sz w:val="4"/>
          <w:szCs w:val="4"/>
        </w:rPr>
        <w:t xml:space="preserve"/>
      </w:r>
    </w:p>
    <w:p>
      <w:pPr>
        <w:spacing w:after="100" w:before="60"/>
      </w:pPr>
      <w:r>
        <w:rPr>
          <w:rFonts w:ascii="Arial" w:cs="Arial" w:eastAsia="Arial" w:hAnsi="Arial"/>
          <w:b w:val="false"/>
          <w:bCs w:val="false"/>
          <w:i/>
          <w:iCs/>
          <w:color w:val="888888"/>
          <w:sz w:val="22"/>
          <w:szCs w:val="22"/>
        </w:rPr>
        <w:t xml:space="preserve">Projections are estimates based on applying confirmed v1.8 architecture to live v1.7 sessions. Past performance does not guarantee future results.</w:t>
      </w:r>
    </w:p>
    <w:p>
      <w:r>
        <w:br w:type="page"/>
      </w:r>
    </w:p>
    <w:p>
      <w:pPr>
        <w:pBdr>
          <w:bottom w:val="single" w:color="C9A84C" w:sz="4" w:space="6"/>
        </w:pBdr>
        <w:spacing w:after="160" w:before="360"/>
      </w:pPr>
      <w:r>
        <w:rPr>
          <w:rFonts w:ascii="Arial" w:cs="Arial" w:eastAsia="Arial" w:hAnsi="Arial"/>
          <w:b/>
          <w:bCs/>
          <w:color w:val="C9A84C"/>
          <w:sz w:val="32"/>
          <w:szCs w:val="32"/>
        </w:rPr>
        <w:t xml:space="preserve">Part 4 — What You Can Expect</w:t>
      </w:r>
    </w:p>
    <w:p>
      <w:pPr>
        <w:spacing w:after="100" w:before="60"/>
      </w:pPr>
      <w:r>
        <w:rPr>
          <w:rFonts w:ascii="Arial" w:cs="Arial" w:eastAsia="Arial" w:hAnsi="Arial"/>
          <w:b/>
          <w:bCs/>
          <w:i w:val="false"/>
          <w:iCs w:val="false"/>
          <w:color w:val="2D2D2D"/>
          <w:sz w:val="22"/>
          <w:szCs w:val="22"/>
        </w:rPr>
        <w:t xml:space="preserve">The core experience stays familiar. Same chart, same dashboard, same level framework. Oracle still finds the same high-quality entries it finds now.</w:t>
      </w:r>
    </w:p>
    <w:p>
      <w:pPr>
        <w:spacing w:after="0" w:before="120"/>
      </w:pPr>
      <w:r>
        <w:rPr>
          <w:sz w:val="4"/>
          <w:szCs w:val="4"/>
        </w:rPr>
        <w:t xml:space="preserve"/>
      </w:r>
    </w:p>
    <w:p>
      <w:pPr>
        <w:spacing w:after="80" w:before="200"/>
      </w:pPr>
      <w:r>
        <w:rPr>
          <w:rFonts w:ascii="Arial" w:cs="Arial" w:eastAsia="Arial" w:hAnsi="Arial"/>
          <w:b/>
          <w:bCs/>
          <w:color w:val="00B4A0"/>
          <w:spacing w:val="40"/>
          <w:sz w:val="18"/>
          <w:szCs w:val="18"/>
        </w:rPr>
        <w:t xml:space="preserve">THE DIFFERENCES YOU'LL FEEL</w:t>
      </w:r>
    </w:p>
    <w:p>
      <w:pPr>
        <w:spacing w:after="0" w:before="60"/>
      </w:pPr>
      <w:r>
        <w:rPr>
          <w:sz w:val="4"/>
          <w:szCs w:val="4"/>
        </w:rPr>
        <w:t xml:space="preserve"/>
      </w:r>
    </w:p>
    <w:p>
      <w:pPr>
        <w:spacing w:after="100" w:before="280"/>
      </w:pPr>
      <w:r>
        <w:rPr>
          <w:rFonts w:ascii="Arial" w:cs="Arial" w:eastAsia="Arial" w:hAnsi="Arial"/>
          <w:b/>
          <w:bCs/>
          <w:color w:val="111827"/>
          <w:sz w:val="26"/>
          <w:szCs w:val="26"/>
        </w:rPr>
        <w:t xml:space="preserve">1.  Fewer Bad Trades</w:t>
      </w:r>
    </w:p>
    <w:p>
      <w:pPr>
        <w:spacing w:after="100" w:before="60"/>
      </w:pPr>
      <w:r>
        <w:rPr>
          <w:rFonts w:ascii="Arial" w:cs="Arial" w:eastAsia="Arial" w:hAnsi="Arial"/>
          <w:b w:val="false"/>
          <w:bCs w:val="false"/>
          <w:i w:val="false"/>
          <w:iCs w:val="false"/>
          <w:color w:val="2D2D2D"/>
          <w:sz w:val="22"/>
          <w:szCs w:val="22"/>
        </w:rPr>
        <w:t xml:space="preserve">The counter-trend losses that defined W2 D3, W3 D4, and W3 D5 largely disappear. Oracle stops fighting the macro direction.</w:t>
      </w:r>
    </w:p>
    <w:p>
      <w:pPr>
        <w:spacing w:after="100" w:before="280"/>
      </w:pPr>
      <w:r>
        <w:rPr>
          <w:rFonts w:ascii="Arial" w:cs="Arial" w:eastAsia="Arial" w:hAnsi="Arial"/>
          <w:b/>
          <w:bCs/>
          <w:color w:val="111827"/>
          <w:sz w:val="26"/>
          <w:szCs w:val="26"/>
        </w:rPr>
        <w:t xml:space="preserve">2.  More From Your Winners</w:t>
      </w:r>
    </w:p>
    <w:p>
      <w:pPr>
        <w:spacing w:after="100" w:before="60"/>
      </w:pPr>
      <w:r>
        <w:rPr>
          <w:rFonts w:ascii="Arial" w:cs="Arial" w:eastAsia="Arial" w:hAnsi="Arial"/>
          <w:b w:val="false"/>
          <w:bCs w:val="false"/>
          <w:i w:val="false"/>
          <w:iCs w:val="false"/>
          <w:color w:val="2D2D2D"/>
          <w:sz w:val="22"/>
          <w:szCs w:val="22"/>
        </w:rPr>
        <w:t xml:space="preserve">Instead of one exit capturing the first target, the partial exit architecture captures the full structural move. The same +$1,479 trade becomes approximately +$2,820.</w:t>
      </w:r>
    </w:p>
    <w:p>
      <w:pPr>
        <w:spacing w:after="100" w:before="280"/>
      </w:pPr>
      <w:r>
        <w:rPr>
          <w:rFonts w:ascii="Arial" w:cs="Arial" w:eastAsia="Arial" w:hAnsi="Arial"/>
          <w:b/>
          <w:bCs/>
          <w:color w:val="111827"/>
          <w:sz w:val="26"/>
          <w:szCs w:val="26"/>
        </w:rPr>
        <w:t xml:space="preserve">3.  A Genuinely Hands-Free Week</w:t>
      </w:r>
    </w:p>
    <w:p>
      <w:pPr>
        <w:spacing w:after="100" w:before="60"/>
      </w:pPr>
      <w:r>
        <w:rPr>
          <w:rFonts w:ascii="Arial" w:cs="Arial" w:eastAsia="Arial" w:hAnsi="Arial"/>
          <w:b w:val="false"/>
          <w:bCs w:val="false"/>
          <w:i w:val="false"/>
          <w:iCs w:val="false"/>
          <w:color w:val="2D2D2D"/>
          <w:sz w:val="22"/>
          <w:szCs w:val="22"/>
        </w:rPr>
        <w:t xml:space="preserve">Five minutes Sunday entering news events. Oracle handles everything else — blackouts, position management, alerts — for the entire week.</w:t>
      </w:r>
    </w:p>
    <w:p>
      <w:pPr>
        <w:spacing w:after="100" w:before="280"/>
      </w:pPr>
      <w:r>
        <w:rPr>
          <w:rFonts w:ascii="Arial" w:cs="Arial" w:eastAsia="Arial" w:hAnsi="Arial"/>
          <w:b/>
          <w:bCs/>
          <w:color w:val="111827"/>
          <w:sz w:val="26"/>
          <w:szCs w:val="26"/>
        </w:rPr>
        <w:t xml:space="preserve">4.  Cleaner Chart</w:t>
      </w:r>
    </w:p>
    <w:p>
      <w:pPr>
        <w:spacing w:after="100" w:before="60"/>
      </w:pPr>
      <w:r>
        <w:rPr>
          <w:rFonts w:ascii="Arial" w:cs="Arial" w:eastAsia="Arial" w:hAnsi="Arial"/>
          <w:b w:val="false"/>
          <w:bCs w:val="false"/>
          <w:i w:val="false"/>
          <w:iCs w:val="false"/>
          <w:color w:val="2D2D2D"/>
          <w:sz w:val="22"/>
          <w:szCs w:val="22"/>
        </w:rPr>
        <w:t xml:space="preserve">Accurate label prices, merged level labels, no overlap, lines anchored correctly to the session open.</w:t>
      </w:r>
    </w:p>
    <w:p>
      <w:pPr>
        <w:spacing w:after="100" w:before="280"/>
      </w:pPr>
      <w:r>
        <w:rPr>
          <w:rFonts w:ascii="Arial" w:cs="Arial" w:eastAsia="Arial" w:hAnsi="Arial"/>
          <w:b/>
          <w:bCs/>
          <w:color w:val="111827"/>
          <w:sz w:val="26"/>
          <w:szCs w:val="26"/>
        </w:rPr>
        <w:t xml:space="preserve">5.  Automatic Risk Scaling</w:t>
      </w:r>
    </w:p>
    <w:p>
      <w:pPr>
        <w:spacing w:after="100" w:before="60"/>
      </w:pPr>
      <w:r>
        <w:rPr>
          <w:rFonts w:ascii="Arial" w:cs="Arial" w:eastAsia="Arial" w:hAnsi="Arial"/>
          <w:b w:val="false"/>
          <w:bCs w:val="false"/>
          <w:i w:val="false"/>
          <w:iCs w:val="false"/>
          <w:color w:val="2D2D2D"/>
          <w:sz w:val="22"/>
          <w:szCs w:val="22"/>
        </w:rPr>
        <w:t xml:space="preserve">Smaller size on Fridays and news days without you thinking about it.</w:t>
      </w:r>
    </w:p>
    <w:p>
      <w:pPr>
        <w:spacing w:after="0" w:before="14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2"/>
              <w:left w:val="single" w:color="C9A84C" w:sz="16"/>
              <w:bottom w:val="single" w:color="C9A84C" w:sz="2"/>
              <w:right w:val="single" w:color="C9A84C" w:sz="2"/>
            </w:tcBorders>
            <w:shd w:fill="F9F7F2" w:val="clear"/>
            <w:tcMar>
              <w:top w:type="dxa" w:w="140"/>
              <w:left w:type="dxa" w:w="260"/>
              <w:bottom w:type="dxa" w:w="140"/>
              <w:right w:type="dxa" w:w="260"/>
            </w:tcMar>
          </w:tcPr>
          <w:p>
            <w:pPr>
              <w:spacing w:after="50" w:before="0"/>
            </w:pPr>
            <w:r>
              <w:rPr>
                <w:rFonts w:ascii="Arial" w:cs="Arial" w:eastAsia="Arial" w:hAnsi="Arial"/>
                <w:b/>
                <w:bCs/>
                <w:color w:val="C9A84C"/>
                <w:spacing w:val="40"/>
                <w:sz w:val="16"/>
                <w:szCs w:val="16"/>
              </w:rPr>
              <w:t xml:space="preserve">THE HONEST CAVEAT</w:t>
            </w:r>
          </w:p>
          <w:p>
            <w:pPr>
              <w:spacing w:after="0" w:before="0"/>
            </w:pPr>
            <w:r>
              <w:rPr>
                <w:rFonts w:ascii="Arial" w:cs="Arial" w:eastAsia="Arial" w:hAnsi="Arial"/>
                <w:i/>
                <w:iCs/>
                <w:color w:val="2D2D2D"/>
                <w:sz w:val="21"/>
                <w:szCs w:val="21"/>
              </w:rPr>
              <w:t xml:space="preserve">v1.8 is not a loss-elimination system. The stop loss remains the primary protection. What v1.8 does is stop the avoidable losses — the counter-trend entries — and capture more of the moves Oracle already correctly identifies. It makes a good entry engine into a complete trading system.</w:t>
            </w:r>
          </w:p>
        </w:tc>
      </w:tr>
    </w:tbl>
    <w:p>
      <w:pPr>
        <w:spacing w:after="0" w:before="160"/>
      </w:pPr>
      <w:r>
        <w:rPr>
          <w:sz w:val="4"/>
          <w:szCs w:val="4"/>
        </w:rPr>
        <w:t xml:space="preserve"/>
      </w:r>
    </w:p>
    <w:p>
      <w:pPr>
        <w:spacing w:after="100" w:before="280"/>
      </w:pPr>
      <w:r>
        <w:rPr>
          <w:rFonts w:ascii="Arial" w:cs="Arial" w:eastAsia="Arial" w:hAnsi="Arial"/>
          <w:b/>
          <w:bCs/>
          <w:color w:val="111827"/>
          <w:sz w:val="26"/>
          <w:szCs w:val="26"/>
        </w:rPr>
        <w:t xml:space="preserve">The Build Sequence</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W4 completes the forward test</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Full review and development tracker update</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Pre-build conversation on open design decisions</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v1.7 audit — clean base produced</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v1.8 incremental build — one feature at a time, backtested after each</w:t>
      </w:r>
    </w:p>
    <w:p>
      <w:pPr>
        <w:spacing w:after="40" w:before="40"/>
        <w:ind w:left="360" w:hanging="200"/>
      </w:pPr>
      <w:r>
        <w:rPr>
          <w:rFonts w:ascii="Arial" w:cs="Arial" w:eastAsia="Arial" w:hAnsi="Arial"/>
          <w:b/>
          <w:bCs/>
          <w:color w:val="00B4A0"/>
          <w:sz w:val="22"/>
          <w:szCs w:val="22"/>
        </w:rPr>
        <w:t xml:space="preserve">—  </w:t>
      </w:r>
      <w:r>
        <w:rPr>
          <w:rFonts w:ascii="Arial" w:cs="Arial" w:eastAsia="Arial" w:hAnsi="Arial"/>
          <w:color w:val="2D2D2D"/>
          <w:sz w:val="22"/>
          <w:szCs w:val="22"/>
        </w:rPr>
        <w:t xml:space="preserve">Calibration runs, then v1.8 forward test</w:t>
      </w:r>
    </w:p>
    <w:p>
      <w:pPr>
        <w:spacing w:after="0" w:before="200"/>
      </w:pPr>
      <w:r>
        <w:rPr>
          <w:sz w:val="4"/>
          <w:szCs w:val="4"/>
        </w:rPr>
        <w:t xml:space="preserve"/>
      </w:r>
    </w:p>
    <w:p>
      <w:pPr>
        <w:pBdr>
          <w:top w:val="single" w:color="C9A84C" w:sz="4" w:space="8"/>
        </w:pBdr>
        <w:spacing w:after="80" w:before="80"/>
        <w:jc w:val="center"/>
      </w:pPr>
      <w:r>
        <w:rPr>
          <w:rFonts w:ascii="Arial" w:cs="Arial" w:eastAsia="Arial" w:hAnsi="Arial"/>
          <w:i/>
          <w:iCs/>
          <w:color w:val="888888"/>
          <w:sz w:val="15"/>
          <w:szCs w:val="15"/>
        </w:rPr>
        <w:t xml:space="preserve">Trading futures involves substantial risk of loss. Past performance is not indicative of future results. Oracle is an automated strategy tool, not financial advice. All forward test results are from live sessions. Individual results vary by account size, platform, and market conditions.</w:t>
      </w:r>
    </w:p>
    <w:p>
      <w:pPr>
        <w:spacing w:after="0" w:before="120"/>
        <w:jc w:val="center"/>
      </w:pPr>
      <w:r>
        <w:rPr>
          <w:rFonts w:ascii="Arial" w:cs="Arial" w:eastAsia="Arial" w:hAnsi="Arial"/>
          <w:color w:val="C9A84C"/>
          <w:sz w:val="16"/>
          <w:szCs w:val="16"/>
        </w:rPr>
        <w:t xml:space="preserve">Oracle  ·  NQ / MNQ Automated Futures Strategy  ·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2026-06-05T18:08:45.328Z</dcterms:created>
  <dcterms:modified xsi:type="dcterms:W3CDTF">2026-06-05T18:08:45.328Z</dcterms:modified>
</cp:coreProperties>
</file>

<file path=docProps/custom.xml><?xml version="1.0" encoding="utf-8"?>
<Properties xmlns="http://schemas.openxmlformats.org/officeDocument/2006/custom-properties" xmlns:vt="http://schemas.openxmlformats.org/officeDocument/2006/docPropsVTypes"/>
</file>