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W w:type="dxa" w:w="10080"/>
            <w:tcBorders>
              <w:top w:val="none" w:color="FFFFFF" w:sz="0"/>
              <w:left w:val="none" w:color="FFFFFF" w:sz="0"/>
              <w:bottom w:val="none" w:color="FFFFFF" w:sz="0"/>
              <w:right w:val="none" w:color="FFFFFF" w:sz="0"/>
            </w:tcBorders>
            <w:shd w:fill="0A0E1A" w:val="clear"/>
            <w:tcMar>
              <w:top w:type="dxa" w:w="500"/>
              <w:left w:type="dxa" w:w="400"/>
              <w:bottom w:type="dxa" w:w="500"/>
              <w:right w:type="dxa" w:w="400"/>
            </w:tcMar>
          </w:tcPr>
          <w:p>
            <w:pPr>
              <w:spacing w:before="160" w:after="40"/>
              <w:jc w:val="center"/>
            </w:pPr>
            <w:r>
              <w:rPr>
                <w:rFonts w:ascii="Arial" w:cs="Arial" w:eastAsia="Arial" w:hAnsi="Arial"/>
                <w:b/>
                <w:bCs/>
                <w:color w:val="E8B84B"/>
                <w:sz w:val="72"/>
                <w:szCs w:val="72"/>
              </w:rPr>
              <w:t xml:space="preserve">ORACLE v1.7</w:t>
            </w:r>
          </w:p>
          <w:p>
            <w:pPr>
              <w:spacing w:before="0" w:after="40"/>
              <w:jc w:val="center"/>
            </w:pPr>
            <w:r>
              <w:rPr>
                <w:rFonts w:ascii="Arial" w:cs="Arial" w:eastAsia="Arial" w:hAnsi="Arial"/>
                <w:color w:val="1CB8A0"/>
                <w:sz w:val="32"/>
                <w:szCs w:val="32"/>
              </w:rPr>
              <w:t xml:space="preserve">Visual Aids — Chart Interface Design</w:t>
            </w:r>
          </w:p>
          <w:p>
            <w:pPr>
              <w:spacing w:before="40" w:after="80"/>
              <w:jc w:val="center"/>
            </w:pPr>
            <w:r>
              <w:rPr>
                <w:rFonts w:ascii="Arial" w:cs="Arial" w:eastAsia="Arial" w:hAnsi="Arial"/>
                <w:i/>
                <w:iCs/>
                <w:color w:val="C0392B"/>
                <w:sz w:val="26"/>
                <w:szCs w:val="26"/>
              </w:rPr>
              <w:t xml:space="preserve">First Draft — Discussion Document</w:t>
            </w:r>
          </w:p>
          <w:p>
            <w:pPr>
              <w:spacing w:before="80" w:after="40"/>
              <w:jc w:val="center"/>
            </w:pPr>
            <w:r>
              <w:rPr>
                <w:rFonts w:ascii="Arial" w:cs="Arial" w:eastAsia="Arial" w:hAnsi="Arial"/>
                <w:color w:val="D1D5E0"/>
                <w:sz w:val="20"/>
                <w:szCs w:val="20"/>
              </w:rPr>
              <w:t xml:space="preserve">This document is a proposed design for stakeholder review.</w:t>
            </w:r>
          </w:p>
          <w:p>
            <w:pPr>
              <w:spacing w:before="0" w:after="40"/>
              <w:jc w:val="center"/>
            </w:pPr>
            <w:r>
              <w:rPr>
                <w:rFonts w:ascii="Arial" w:cs="Arial" w:eastAsia="Arial" w:hAnsi="Arial"/>
                <w:color w:val="D1D5E0"/>
                <w:sz w:val="20"/>
                <w:szCs w:val="20"/>
              </w:rPr>
              <w:t xml:space="preserve">No code has been written. All mockups are illustrative.</w:t>
            </w:r>
          </w:p>
          <w:p>
            <w:pPr>
              <w:spacing w:before="40" w:after="0"/>
              <w:jc w:val="center"/>
            </w:pPr>
            <w:r>
              <w:rPr>
                <w:rFonts w:ascii="Arial" w:cs="Arial" w:eastAsia="Arial" w:hAnsi="Arial"/>
                <w:color w:val="3A4255"/>
                <w:sz w:val="20"/>
                <w:szCs w:val="20"/>
              </w:rPr>
              <w:t xml:space="preserve">NQ / MNQ Futures  ·  TradingView Pine Script v5/v6  ·  1-Minute Chart</w:t>
            </w:r>
          </w:p>
        </w:tc>
      </w:tr>
    </w:tbl>
    <w:p>
      <w:pPr>
        <w:spacing w:before="16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D1D5E0" w:sz="1"/>
              <w:left w:val="single" w:color="D1D5E0" w:sz="1"/>
              <w:bottom w:val="single" w:color="D1D5E0" w:sz="1"/>
              <w:right w:val="single" w:color="D1D5E0" w:sz="1"/>
            </w:tcBorders>
            <w:shd w:fill="F2F4F8" w:val="clear"/>
            <w:tcMar>
              <w:top w:type="dxa" w:w="120"/>
              <w:left w:type="dxa" w:w="160"/>
              <w:bottom w:type="dxa" w:w="120"/>
              <w:right w:type="dxa" w:w="160"/>
            </w:tcMar>
          </w:tcPr>
          <w:p>
            <w:pPr>
              <w:spacing w:before="0" w:after="60"/>
            </w:pPr>
            <w:r>
              <w:rPr>
                <w:rFonts w:ascii="Arial" w:cs="Arial" w:eastAsia="Arial" w:hAnsi="Arial"/>
                <w:b/>
                <w:bCs/>
                <w:color w:val="C9952A"/>
                <w:sz w:val="22"/>
                <w:szCs w:val="22"/>
              </w:rPr>
              <w:t xml:space="preserve">Contents</w:t>
            </w:r>
          </w:p>
          <w:p>
            <w:pPr>
              <w:spacing w:before="20" w:after="20"/>
            </w:pPr>
            <w:r>
              <w:rPr>
                <w:rFonts w:ascii="Arial" w:cs="Arial" w:eastAsia="Arial" w:hAnsi="Arial"/>
                <w:color w:val="0A0E1A"/>
                <w:sz w:val="19"/>
                <w:szCs w:val="19"/>
              </w:rPr>
              <w:t xml:space="preserve">1.  Purpose of this document</w:t>
            </w:r>
          </w:p>
          <w:p>
            <w:pPr>
              <w:spacing w:before="20" w:after="20"/>
            </w:pPr>
            <w:r>
              <w:rPr>
                <w:rFonts w:ascii="Arial" w:cs="Arial" w:eastAsia="Arial" w:hAnsi="Arial"/>
                <w:color w:val="0A0E1A"/>
                <w:sz w:val="19"/>
                <w:szCs w:val="19"/>
              </w:rPr>
              <w:t xml:space="preserve">2.  Design philosophy</w:t>
            </w:r>
          </w:p>
          <w:p>
            <w:pPr>
              <w:spacing w:before="20" w:after="20"/>
            </w:pPr>
            <w:r>
              <w:rPr>
                <w:rFonts w:ascii="Arial" w:cs="Arial" w:eastAsia="Arial" w:hAnsi="Arial"/>
                <w:color w:val="0A0E1A"/>
                <w:sz w:val="19"/>
                <w:szCs w:val="19"/>
              </w:rPr>
              <w:t xml:space="preserve">3.  Visual Aid 1 — Pre-entry confluence</w:t>
            </w:r>
          </w:p>
          <w:p>
            <w:pPr>
              <w:spacing w:before="20" w:after="20"/>
            </w:pPr>
            <w:r>
              <w:rPr>
                <w:rFonts w:ascii="Arial" w:cs="Arial" w:eastAsia="Arial" w:hAnsi="Arial"/>
                <w:color w:val="0A0E1A"/>
                <w:sz w:val="19"/>
                <w:szCs w:val="19"/>
              </w:rPr>
              <w:t xml:space="preserve">4.  Visual Aid 2 — Trade management lines</w:t>
            </w:r>
          </w:p>
          <w:p>
            <w:pPr>
              <w:spacing w:before="20" w:after="20"/>
            </w:pPr>
            <w:r>
              <w:rPr>
                <w:rFonts w:ascii="Arial" w:cs="Arial" w:eastAsia="Arial" w:hAnsi="Arial"/>
                <w:color w:val="0A0E1A"/>
                <w:sz w:val="19"/>
                <w:szCs w:val="19"/>
              </w:rPr>
              <w:t xml:space="preserve">5.  Visual Aid 3 — Level flip &amp; signal badges</w:t>
            </w:r>
          </w:p>
          <w:p>
            <w:pPr>
              <w:spacing w:before="20" w:after="20"/>
            </w:pPr>
            <w:r>
              <w:rPr>
                <w:rFonts w:ascii="Arial" w:cs="Arial" w:eastAsia="Arial" w:hAnsi="Arial"/>
                <w:color w:val="0A0E1A"/>
                <w:sz w:val="19"/>
                <w:szCs w:val="19"/>
              </w:rPr>
              <w:t xml:space="preserve">6.  Visual Aid 4 — Distance panel &amp; bias display</w:t>
            </w:r>
          </w:p>
          <w:p>
            <w:pPr>
              <w:spacing w:before="20" w:after="20"/>
            </w:pPr>
            <w:r>
              <w:rPr>
                <w:rFonts w:ascii="Arial" w:cs="Arial" w:eastAsia="Arial" w:hAnsi="Arial"/>
                <w:color w:val="0A0E1A"/>
                <w:sz w:val="19"/>
                <w:szCs w:val="19"/>
              </w:rPr>
              <w:t xml:space="preserve">7.  Visual Aid 5 — Combined reference chart</w:t>
            </w:r>
          </w:p>
          <w:p>
            <w:pPr>
              <w:spacing w:before="20" w:after="20"/>
            </w:pPr>
            <w:r>
              <w:rPr>
                <w:rFonts w:ascii="Arial" w:cs="Arial" w:eastAsia="Arial" w:hAnsi="Arial"/>
                <w:color w:val="0A0E1A"/>
                <w:sz w:val="19"/>
                <w:szCs w:val="19"/>
              </w:rPr>
              <w:t xml:space="preserve">8.  Implementation notes</w:t>
            </w:r>
          </w:p>
          <w:p>
            <w:pPr>
              <w:spacing w:before="20" w:after="20"/>
            </w:pPr>
            <w:r>
              <w:rPr>
                <w:rFonts w:ascii="Arial" w:cs="Arial" w:eastAsia="Arial" w:hAnsi="Arial"/>
                <w:color w:val="0A0E1A"/>
                <w:sz w:val="19"/>
                <w:szCs w:val="19"/>
              </w:rPr>
              <w:t xml:space="preserve">9.  Discussion questions for stakeholders</w:t>
            </w:r>
          </w:p>
        </w:tc>
        <w:tc>
          <w:tcPr>
            <w:tcW w:type="dxa" w:w="4680"/>
            <w:tcBorders>
              <w:top w:val="single" w:color="D1D5E0" w:sz="1"/>
              <w:left w:val="single" w:color="D1D5E0" w:sz="1"/>
              <w:bottom w:val="single" w:color="D1D5E0" w:sz="1"/>
              <w:right w:val="single" w:color="D1D5E0" w:sz="1"/>
            </w:tcBorders>
            <w:shd w:fill="0A0E1A" w:val="clear"/>
            <w:tcMar>
              <w:top w:type="dxa" w:w="120"/>
              <w:left w:type="dxa" w:w="160"/>
              <w:bottom w:type="dxa" w:w="120"/>
              <w:right w:type="dxa" w:w="160"/>
            </w:tcMar>
          </w:tcPr>
          <w:p>
            <w:pPr>
              <w:spacing w:before="0" w:after="60"/>
            </w:pPr>
            <w:r>
              <w:rPr>
                <w:rFonts w:ascii="Arial" w:cs="Arial" w:eastAsia="Arial" w:hAnsi="Arial"/>
                <w:b/>
                <w:bCs/>
                <w:color w:val="E8B84B"/>
                <w:sz w:val="22"/>
                <w:szCs w:val="22"/>
              </w:rPr>
              <w:t xml:space="preserve">Visual aids summary</w:t>
            </w:r>
          </w:p>
          <w:p>
            <w:pPr>
              <w:spacing w:before="16" w:after="0"/>
            </w:pPr>
            <w:r>
              <w:rPr>
                <w:rFonts w:ascii="Arial" w:cs="Arial" w:eastAsia="Arial" w:hAnsi="Arial"/>
                <w:color w:val="D1D5E0"/>
                <w:sz w:val="18"/>
                <w:szCs w:val="18"/>
              </w:rPr>
              <w:t xml:space="preserve">1A  Level strength score  (★1–5)</w:t>
            </w:r>
          </w:p>
          <w:p>
            <w:pPr>
              <w:spacing w:before="16" w:after="0"/>
            </w:pPr>
            <w:r>
              <w:rPr>
                <w:rFonts w:ascii="Arial" w:cs="Arial" w:eastAsia="Arial" w:hAnsi="Arial"/>
                <w:color w:val="D1D5E0"/>
                <w:sz w:val="18"/>
                <w:szCs w:val="18"/>
              </w:rPr>
              <w:t xml:space="preserve">1B  EMA angle arrow  (↑↓ —)</w:t>
            </w:r>
          </w:p>
          <w:p>
            <w:pPr>
              <w:spacing w:before="16" w:after="0"/>
            </w:pPr>
            <w:r>
              <w:rPr>
                <w:rFonts w:ascii="Arial" w:cs="Arial" w:eastAsia="Arial" w:hAnsi="Arial"/>
                <w:color w:val="D1D5E0"/>
                <w:sz w:val="18"/>
                <w:szCs w:val="18"/>
              </w:rPr>
              <w:t xml:space="preserve">1C  Session bias label</w:t>
            </w:r>
          </w:p>
          <w:p>
            <w:pPr>
              <w:spacing w:before="16" w:after="0"/>
            </w:pPr>
            <w:r>
              <w:rPr>
                <w:rFonts w:ascii="Arial" w:cs="Arial" w:eastAsia="Arial" w:hAnsi="Arial"/>
                <w:color w:val="D1D5E0"/>
                <w:sz w:val="18"/>
                <w:szCs w:val="18"/>
              </w:rPr>
              <w:t xml:space="preserve">2A  Entry line (blue solid)</w:t>
            </w:r>
          </w:p>
          <w:p>
            <w:pPr>
              <w:spacing w:before="16" w:after="0"/>
            </w:pPr>
            <w:r>
              <w:rPr>
                <w:rFonts w:ascii="Arial" w:cs="Arial" w:eastAsia="Arial" w:hAnsi="Arial"/>
                <w:color w:val="D1D5E0"/>
                <w:sz w:val="18"/>
                <w:szCs w:val="18"/>
              </w:rPr>
              <w:t xml:space="preserve">2B  Stop Loss line (red dashed)</w:t>
            </w:r>
          </w:p>
          <w:p>
            <w:pPr>
              <w:spacing w:before="16" w:after="0"/>
            </w:pPr>
            <w:r>
              <w:rPr>
                <w:rFonts w:ascii="Arial" w:cs="Arial" w:eastAsia="Arial" w:hAnsi="Arial"/>
                <w:color w:val="D1D5E0"/>
                <w:sz w:val="18"/>
                <w:szCs w:val="18"/>
              </w:rPr>
              <w:t xml:space="preserve">2C  Take Profit line (green dashed)</w:t>
            </w:r>
          </w:p>
          <w:p>
            <w:pPr>
              <w:spacing w:before="16" w:after="0"/>
            </w:pPr>
            <w:r>
              <w:rPr>
                <w:rFonts w:ascii="Arial" w:cs="Arial" w:eastAsia="Arial" w:hAnsi="Arial"/>
                <w:color w:val="D1D5E0"/>
                <w:sz w:val="18"/>
                <w:szCs w:val="18"/>
              </w:rPr>
              <w:t xml:space="preserve">2D  Breakeven threshold line</w:t>
            </w:r>
          </w:p>
          <w:p>
            <w:pPr>
              <w:spacing w:before="16" w:after="0"/>
            </w:pPr>
            <w:r>
              <w:rPr>
                <w:rFonts w:ascii="Arial" w:cs="Arial" w:eastAsia="Arial" w:hAnsi="Arial"/>
                <w:color w:val="D1D5E0"/>
                <w:sz w:val="18"/>
                <w:szCs w:val="18"/>
              </w:rPr>
              <w:t xml:space="preserve">2E  Live P&amp;L label (updates each bar)</w:t>
            </w:r>
          </w:p>
          <w:p>
            <w:pPr>
              <w:spacing w:before="16" w:after="0"/>
            </w:pPr>
            <w:r>
              <w:rPr>
                <w:rFonts w:ascii="Arial" w:cs="Arial" w:eastAsia="Arial" w:hAnsi="Arial"/>
                <w:color w:val="D1D5E0"/>
                <w:sz w:val="18"/>
                <w:szCs w:val="18"/>
              </w:rPr>
              <w:t xml:space="preserve">2F  Trail zone shading</w:t>
            </w:r>
          </w:p>
          <w:p>
            <w:pPr>
              <w:spacing w:before="16" w:after="0"/>
            </w:pPr>
            <w:r>
              <w:rPr>
                <w:rFonts w:ascii="Arial" w:cs="Arial" w:eastAsia="Arial" w:hAnsi="Arial"/>
                <w:color w:val="D1D5E0"/>
                <w:sz w:val="18"/>
                <w:szCs w:val="18"/>
              </w:rPr>
              <w:t xml:space="preserve">3A  Level touch counter  (×N)</w:t>
            </w:r>
          </w:p>
          <w:p>
            <w:pPr>
              <w:spacing w:before="16" w:after="0"/>
            </w:pPr>
            <w:r>
              <w:rPr>
                <w:rFonts w:ascii="Arial" w:cs="Arial" w:eastAsia="Arial" w:hAnsi="Arial"/>
                <w:color w:val="D1D5E0"/>
                <w:sz w:val="18"/>
                <w:szCs w:val="18"/>
              </w:rPr>
              <w:t xml:space="preserve">3B  Level flip indicator  (FLIPPED badge)</w:t>
            </w:r>
          </w:p>
          <w:p>
            <w:pPr>
              <w:spacing w:before="16" w:after="0"/>
            </w:pPr>
            <w:r>
              <w:rPr>
                <w:rFonts w:ascii="Arial" w:cs="Arial" w:eastAsia="Arial" w:hAnsi="Arial"/>
                <w:color w:val="D1D5E0"/>
                <w:sz w:val="18"/>
                <w:szCs w:val="18"/>
              </w:rPr>
              <w:t xml:space="preserve">3C  Distance-to-level panel</w:t>
            </w:r>
          </w:p>
          <w:p>
            <w:pPr>
              <w:spacing w:before="16" w:after="0"/>
            </w:pPr>
            <w:r>
              <w:rPr>
                <w:rFonts w:ascii="Arial" w:cs="Arial" w:eastAsia="Arial" w:hAnsi="Arial"/>
                <w:color w:val="D1D5E0"/>
                <w:sz w:val="18"/>
                <w:szCs w:val="18"/>
              </w:rPr>
              <w:t xml:space="preserve">4A  Signal confluence badge  (GOLD/TEAL/WHITE/GREY)</w:t>
            </w:r>
          </w:p>
          <w:p>
            <w:pPr>
              <w:spacing w:before="16" w:after="0"/>
            </w:pPr>
            <w:r>
              <w:rPr>
                <w:rFonts w:ascii="Arial" w:cs="Arial" w:eastAsia="Arial" w:hAnsi="Arial"/>
                <w:color w:val="D1D5E0"/>
                <w:sz w:val="18"/>
                <w:szCs w:val="18"/>
              </w:rPr>
              <w:t xml:space="preserve">4B  Against-trend warning  (⚠ COUNTER)</w:t>
            </w:r>
          </w:p>
        </w:tc>
      </w:tr>
    </w:tbl>
    <w:p>
      <w:pPr>
        <w:spacing w:before="80" w:after="0"/>
      </w:pPr>
      <w:r>
        <w:rPr>
          <w:rFonts w:ascii="Arial" w:cs="Arial" w:eastAsia="Arial" w:hAnsi="Arial"/>
          <w:sz w:val="20"/>
          <w:szCs w:val="20"/>
        </w:rPr>
        <w:t xml:space="preserve"/>
      </w:r>
    </w:p>
    <w:p>
      <w:r>
        <w:br w:type="page"/>
      </w:r>
    </w:p>
    <w:p>
      <w:pPr>
        <w:pStyle w:val="Heading1"/>
        <w:spacing w:before="320" w:after="100"/>
      </w:pPr>
      <w:r>
        <w:rPr>
          <w:rFonts w:ascii="Arial" w:cs="Arial" w:eastAsia="Arial" w:hAnsi="Arial"/>
          <w:b/>
          <w:bCs/>
          <w:color w:val="C9952A"/>
          <w:sz w:val="32"/>
          <w:szCs w:val="32"/>
        </w:rPr>
        <w:t xml:space="preserve">1  Purpose of This Document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300"/>
        <w:gridCol w:w="8060"/>
      </w:tblGrid>
      <w:tr>
        <w:tc>
          <w:tcPr>
            <w:tcW w:type="dxa" w:w="1300"/>
            <w:tcBorders>
              <w:top w:val="none" w:color="FFFFFF" w:sz="0"/>
              <w:left w:val="none" w:color="FFFFFF" w:sz="0"/>
              <w:bottom w:val="none" w:color="FFFFFF" w:sz="0"/>
              <w:right w:val="none" w:color="FFFFFF" w:sz="0"/>
            </w:tcBorders>
            <w:shd w:fill="0A0E1A" w:val="clear"/>
            <w:tcMar>
              <w:top w:type="dxa" w:w="100"/>
              <w:left w:type="dxa" w:w="140"/>
              <w:bottom w:type="dxa" w:w="100"/>
              <w:right w:type="dxa" w:w="140"/>
            </w:tcMar>
          </w:tcPr>
          <w:p>
            <w:pPr>
              <w:jc w:val="center"/>
            </w:pPr>
            <w:r>
              <w:rPr>
                <w:rFonts w:ascii="Arial" w:cs="Arial" w:eastAsia="Arial" w:hAnsi="Arial"/>
                <w:b/>
                <w:bCs/>
                <w:color w:val="C9952A"/>
                <w:sz w:val="18"/>
                <w:szCs w:val="18"/>
              </w:rPr>
              <w:t xml:space="preserve">DRAFT STATUS</w:t>
            </w:r>
          </w:p>
        </w:tc>
        <w:tc>
          <w:tcPr>
            <w:tcW w:type="dxa" w:w="8060"/>
            <w:tcBorders>
              <w:top w:val="single" w:color="D1D5E0" w:sz="1"/>
              <w:left w:val="none" w:color="FFFFFF" w:sz="0"/>
              <w:bottom w:val="single" w:color="D1D5E0" w:sz="1"/>
              <w:right w:val="single" w:color="D1D5E0" w:sz="1"/>
            </w:tcBorders>
            <w:shd w:fill="FFF3CD" w:val="clear"/>
            <w:tcMar>
              <w:top w:type="dxa" w:w="100"/>
              <w:left w:type="dxa" w:w="140"/>
              <w:bottom w:type="dxa" w:w="100"/>
              <w:right w:type="dxa" w:w="140"/>
            </w:tcMar>
          </w:tcPr>
          <w:p>
            <w:r>
              <w:rPr>
                <w:rFonts w:ascii="Arial" w:cs="Arial" w:eastAsia="Arial" w:hAnsi="Arial"/>
                <w:color w:val="0A0E1A"/>
                <w:sz w:val="20"/>
                <w:szCs w:val="20"/>
              </w:rPr>
              <w:t xml:space="preserve">This is a first draft discussion document. The visual aids described here are proposals based on evidence collected during the v1.5 forward test (March–April 2026). No implementation has begun. This document exists to align stakeholders on the design direction before development starts.</w:t>
            </w:r>
          </w:p>
        </w:tc>
      </w:tr>
    </w:tbl>
    <w:p>
      <w:pPr>
        <w:spacing w:before="60" w:after="0"/>
      </w:pPr>
      <w:r>
        <w:rPr>
          <w:rFonts w:ascii="Arial" w:cs="Arial" w:eastAsia="Arial" w:hAnsi="Arial"/>
          <w:sz w:val="20"/>
          <w:szCs w:val="20"/>
        </w:rPr>
        <w:t xml:space="preserve"/>
      </w:r>
    </w:p>
    <w:p>
      <w:pPr>
        <w:spacing w:before="80" w:after="60"/>
      </w:pPr>
      <w:r>
        <w:rPr>
          <w:rFonts w:ascii="Arial" w:cs="Arial" w:eastAsia="Arial" w:hAnsi="Arial"/>
          <w:b w:val="false"/>
          <w:bCs w:val="false"/>
          <w:i w:val="false"/>
          <w:iCs w:val="false"/>
          <w:color w:val="0A0E1A"/>
          <w:sz w:val="22"/>
          <w:szCs w:val="22"/>
        </w:rPr>
        <w:t xml:space="preserve">Oracle v1.7 will be the most feature-rich version of the strategy to date, merging the Oracle level-rejection framework with the NQ Three Session strategy's Asian and London session range logic. With this increased complexity comes an increased need for clear, intuitive visual feedback on the chart.</w:t>
      </w:r>
    </w:p>
    <w:p>
      <w:pPr>
        <w:spacing w:before="60" w:after="0"/>
      </w:pPr>
      <w:r>
        <w:rPr>
          <w:rFonts w:ascii="Arial" w:cs="Arial" w:eastAsia="Arial" w:hAnsi="Arial"/>
          <w:sz w:val="20"/>
          <w:szCs w:val="20"/>
        </w:rPr>
        <w:t xml:space="preserve"/>
      </w:r>
    </w:p>
    <w:p>
      <w:pPr>
        <w:spacing w:before="80" w:after="60"/>
      </w:pPr>
      <w:r>
        <w:rPr>
          <w:rFonts w:ascii="Arial" w:cs="Arial" w:eastAsia="Arial" w:hAnsi="Arial"/>
          <w:b w:val="false"/>
          <w:bCs w:val="false"/>
          <w:i w:val="false"/>
          <w:iCs w:val="false"/>
          <w:color w:val="0A0E1A"/>
          <w:sz w:val="22"/>
          <w:szCs w:val="22"/>
        </w:rPr>
        <w:t xml:space="preserve">The visual aids proposed in this document address a core finding from the forward test: Oracle's entry logic is correct but traders have insufficient visual context to understand what Oracle is doing, why it is doing it, and how to interpret the signals in real time.</w:t>
      </w:r>
    </w:p>
    <w:p>
      <w:pPr>
        <w:spacing w:before="60" w:after="0"/>
      </w:pPr>
      <w:r>
        <w:rPr>
          <w:rFonts w:ascii="Arial" w:cs="Arial" w:eastAsia="Arial" w:hAnsi="Arial"/>
          <w:sz w:val="20"/>
          <w:szCs w:val="20"/>
        </w:rPr>
        <w:t xml:space="preserve"/>
      </w:r>
    </w:p>
    <w:p>
      <w:pPr>
        <w:spacing w:before="80" w:after="60"/>
      </w:pPr>
      <w:r>
        <w:rPr>
          <w:rFonts w:ascii="Arial" w:cs="Arial" w:eastAsia="Arial" w:hAnsi="Arial"/>
          <w:b w:val="false"/>
          <w:bCs w:val="false"/>
          <w:i w:val="false"/>
          <w:iCs w:val="false"/>
          <w:color w:val="0A0E1A"/>
          <w:sz w:val="22"/>
          <w:szCs w:val="22"/>
        </w:rPr>
        <w:t xml:space="preserve">Every visual aid proposed here is directly traceable to a specific forward test observation or a known gap in the current v1.5 chart display.</w:t>
      </w:r>
    </w:p>
    <w:p>
      <w:pPr>
        <w:spacing w:before="80" w:after="0"/>
      </w:pPr>
      <w:r>
        <w:rPr>
          <w:rFonts w:ascii="Arial" w:cs="Arial" w:eastAsia="Arial" w:hAnsi="Arial"/>
          <w:sz w:val="20"/>
          <w:szCs w:val="20"/>
        </w:rPr>
        <w:t xml:space="preserve"/>
      </w:r>
    </w:p>
    <w:p>
      <w:pPr>
        <w:pStyle w:val="Heading1"/>
        <w:spacing w:before="320" w:after="100"/>
      </w:pPr>
      <w:r>
        <w:rPr>
          <w:rFonts w:ascii="Arial" w:cs="Arial" w:eastAsia="Arial" w:hAnsi="Arial"/>
          <w:b/>
          <w:bCs/>
          <w:color w:val="C9952A"/>
          <w:sz w:val="32"/>
          <w:szCs w:val="32"/>
        </w:rPr>
        <w:t xml:space="preserve">2  Design Philosophy</w:t>
      </w:r>
    </w:p>
    <w:p>
      <w:pPr>
        <w:pStyle w:val="Heading2"/>
        <w:spacing w:before="220" w:after="80"/>
      </w:pPr>
      <w:r>
        <w:rPr>
          <w:rFonts w:ascii="Arial" w:cs="Arial" w:eastAsia="Arial" w:hAnsi="Arial"/>
          <w:b/>
          <w:bCs/>
          <w:color w:val="0A0E1A"/>
          <w:sz w:val="26"/>
          <w:szCs w:val="26"/>
        </w:rPr>
        <w:t xml:space="preserve">2.1  Three principles</w:t>
      </w:r>
    </w:p>
    <w:p>
      <w:pPr>
        <w:pStyle w:val="ListParagraph"/>
        <w:numPr>
          <w:ilvl w:val="0"/>
          <w:numId w:val="2"/>
        </w:numPr>
        <w:spacing w:before="60" w:after="50"/>
      </w:pPr>
      <w:r>
        <w:rPr>
          <w:rFonts w:ascii="Arial" w:cs="Arial" w:eastAsia="Arial" w:hAnsi="Arial"/>
          <w:b/>
          <w:bCs/>
          <w:i w:val="false"/>
          <w:iCs w:val="false"/>
          <w:color w:val="0A0E1A"/>
          <w:sz w:val="22"/>
          <w:szCs w:val="22"/>
        </w:rPr>
        <w:t xml:space="preserve">Show context not noise. </w:t>
      </w:r>
      <w:r>
        <w:rPr>
          <w:rFonts w:ascii="Arial" w:cs="Arial" w:eastAsia="Arial" w:hAnsi="Arial"/>
          <w:b w:val="false"/>
          <w:bCs w:val="false"/>
          <w:i w:val="false"/>
          <w:iCs w:val="false"/>
          <w:color w:val="0A0E1A"/>
          <w:sz w:val="22"/>
          <w:szCs w:val="22"/>
        </w:rPr>
        <w:t xml:space="preserve">Every visual element must answer a specific question a trader would ask while watching the chart. If it does not answer a clear question it should not be there.</w:t>
      </w:r>
    </w:p>
    <w:p>
      <w:pPr>
        <w:pStyle w:val="ListParagraph"/>
        <w:numPr>
          <w:ilvl w:val="0"/>
          <w:numId w:val="2"/>
        </w:numPr>
        <w:spacing w:before="60" w:after="50"/>
      </w:pPr>
      <w:r>
        <w:rPr>
          <w:rFonts w:ascii="Arial" w:cs="Arial" w:eastAsia="Arial" w:hAnsi="Arial"/>
          <w:b/>
          <w:bCs/>
          <w:i w:val="false"/>
          <w:iCs w:val="false"/>
          <w:color w:val="0A0E1A"/>
          <w:sz w:val="22"/>
          <w:szCs w:val="22"/>
        </w:rPr>
        <w:t xml:space="preserve">Reinforce the logic not replace it. </w:t>
      </w:r>
      <w:r>
        <w:rPr>
          <w:rFonts w:ascii="Arial" w:cs="Arial" w:eastAsia="Arial" w:hAnsi="Arial"/>
          <w:b w:val="false"/>
          <w:bCs w:val="false"/>
          <w:i w:val="false"/>
          <w:iCs w:val="false"/>
          <w:color w:val="0A0E1A"/>
          <w:sz w:val="22"/>
          <w:szCs w:val="22"/>
        </w:rPr>
        <w:t xml:space="preserve">Visual aids show what Oracle is thinking — they do not require the trader to make decisions. Oracle still executes automatically. The aids make Oracle's decisions readable.</w:t>
      </w:r>
    </w:p>
    <w:p>
      <w:pPr>
        <w:pStyle w:val="ListParagraph"/>
        <w:numPr>
          <w:ilvl w:val="0"/>
          <w:numId w:val="2"/>
        </w:numPr>
        <w:spacing w:before="60" w:after="50"/>
      </w:pPr>
      <w:r>
        <w:rPr>
          <w:rFonts w:ascii="Arial" w:cs="Arial" w:eastAsia="Arial" w:hAnsi="Arial"/>
          <w:b/>
          <w:bCs/>
          <w:i w:val="false"/>
          <w:iCs w:val="false"/>
          <w:color w:val="0A0E1A"/>
          <w:sz w:val="22"/>
          <w:szCs w:val="22"/>
        </w:rPr>
        <w:t xml:space="preserve">Progressive disclosure. </w:t>
      </w:r>
      <w:r>
        <w:rPr>
          <w:rFonts w:ascii="Arial" w:cs="Arial" w:eastAsia="Arial" w:hAnsi="Arial"/>
          <w:b w:val="false"/>
          <w:bCs w:val="false"/>
          <w:i w:val="false"/>
          <w:iCs w:val="false"/>
          <w:color w:val="0A0E1A"/>
          <w:sz w:val="22"/>
          <w:szCs w:val="22"/>
        </w:rPr>
        <w:t xml:space="preserve">Basic information (entry, SL, TP) is always visible. Advanced information (level strength score, session bias cascade) is available but not dominant. A trader should be able to glance at the chart for 2 seconds and know the essential state of their position.</w:t>
      </w:r>
    </w:p>
    <w:p>
      <w:pPr>
        <w:spacing w:before="60" w:after="0"/>
      </w:pPr>
      <w:r>
        <w:rPr>
          <w:rFonts w:ascii="Arial" w:cs="Arial" w:eastAsia="Arial" w:hAnsi="Arial"/>
          <w:sz w:val="20"/>
          <w:szCs w:val="20"/>
        </w:rPr>
        <w:t xml:space="preserve"/>
      </w:r>
    </w:p>
    <w:p>
      <w:pPr>
        <w:pStyle w:val="Heading2"/>
        <w:spacing w:before="220" w:after="80"/>
      </w:pPr>
      <w:r>
        <w:rPr>
          <w:rFonts w:ascii="Arial" w:cs="Arial" w:eastAsia="Arial" w:hAnsi="Arial"/>
          <w:b/>
          <w:bCs/>
          <w:color w:val="0A0E1A"/>
          <w:sz w:val="26"/>
          <w:szCs w:val="26"/>
        </w:rPr>
        <w:t xml:space="preserve">2.2  What visual aids are not</w:t>
      </w:r>
    </w:p>
    <w:p>
      <w:pPr>
        <w:pStyle w:val="ListParagraph"/>
        <w:numPr>
          <w:ilvl w:val="0"/>
          <w:numId w:val="2"/>
        </w:numPr>
        <w:spacing w:before="60" w:after="50"/>
      </w:pPr>
      <w:r>
        <w:rPr>
          <w:rFonts w:ascii="Arial" w:cs="Arial" w:eastAsia="Arial" w:hAnsi="Arial"/>
          <w:b/>
          <w:bCs/>
          <w:i w:val="false"/>
          <w:iCs w:val="false"/>
          <w:color w:val="0A0E1A"/>
          <w:sz w:val="22"/>
          <w:szCs w:val="22"/>
        </w:rPr>
        <w:t xml:space="preserve">Not signal generators. </w:t>
      </w:r>
      <w:r>
        <w:rPr>
          <w:rFonts w:ascii="Arial" w:cs="Arial" w:eastAsia="Arial" w:hAnsi="Arial"/>
          <w:b w:val="false"/>
          <w:bCs w:val="false"/>
          <w:i w:val="false"/>
          <w:iCs w:val="false"/>
          <w:color w:val="0A0E1A"/>
          <w:sz w:val="22"/>
          <w:szCs w:val="22"/>
        </w:rPr>
        <w:t xml:space="preserve">Visual aids do not generate trade signals. Oracle's entry and exit logic is entirely algorithmic. The aids display what that logic is doing.</w:t>
      </w:r>
    </w:p>
    <w:p>
      <w:pPr>
        <w:pStyle w:val="ListParagraph"/>
        <w:numPr>
          <w:ilvl w:val="0"/>
          <w:numId w:val="2"/>
        </w:numPr>
        <w:spacing w:before="60" w:after="50"/>
      </w:pPr>
      <w:r>
        <w:rPr>
          <w:rFonts w:ascii="Arial" w:cs="Arial" w:eastAsia="Arial" w:hAnsi="Arial"/>
          <w:b/>
          <w:bCs/>
          <w:i w:val="false"/>
          <w:iCs w:val="false"/>
          <w:color w:val="0A0E1A"/>
          <w:sz w:val="22"/>
          <w:szCs w:val="22"/>
        </w:rPr>
        <w:t xml:space="preserve">Not overrides. </w:t>
      </w:r>
      <w:r>
        <w:rPr>
          <w:rFonts w:ascii="Arial" w:cs="Arial" w:eastAsia="Arial" w:hAnsi="Arial"/>
          <w:b w:val="false"/>
          <w:bCs w:val="false"/>
          <w:i w:val="false"/>
          <w:iCs w:val="false"/>
          <w:color w:val="0A0E1A"/>
          <w:sz w:val="22"/>
          <w:szCs w:val="22"/>
        </w:rPr>
        <w:t xml:space="preserve">A trader cannot change Oracle's behaviour by looking at the visual aids. They are read-only displays of Oracle's internal state.</w:t>
      </w:r>
    </w:p>
    <w:p>
      <w:pPr>
        <w:pStyle w:val="ListParagraph"/>
        <w:numPr>
          <w:ilvl w:val="0"/>
          <w:numId w:val="2"/>
        </w:numPr>
        <w:spacing w:before="60" w:after="50"/>
      </w:pPr>
      <w:r>
        <w:rPr>
          <w:rFonts w:ascii="Arial" w:cs="Arial" w:eastAsia="Arial" w:hAnsi="Arial"/>
          <w:b/>
          <w:bCs/>
          <w:i w:val="false"/>
          <w:iCs w:val="false"/>
          <w:color w:val="0A0E1A"/>
          <w:sz w:val="22"/>
          <w:szCs w:val="22"/>
        </w:rPr>
        <w:t xml:space="preserve">Not guarantees. </w:t>
      </w:r>
      <w:r>
        <w:rPr>
          <w:rFonts w:ascii="Arial" w:cs="Arial" w:eastAsia="Arial" w:hAnsi="Arial"/>
          <w:b w:val="false"/>
          <w:bCs w:val="false"/>
          <w:i w:val="false"/>
          <w:iCs w:val="false"/>
          <w:color w:val="0A0E1A"/>
          <w:sz w:val="22"/>
          <w:szCs w:val="22"/>
        </w:rPr>
        <w:t xml:space="preserve">A five-star level strength score does not guarantee a winning trade. It means the setup has maximum confluence. The market still decides the outcome.</w:t>
      </w:r>
    </w:p>
    <w:p>
      <w:pPr>
        <w:spacing w:before="80" w:after="0"/>
      </w:pPr>
      <w:r>
        <w:rPr>
          <w:rFonts w:ascii="Arial" w:cs="Arial" w:eastAsia="Arial" w:hAnsi="Arial"/>
          <w:sz w:val="20"/>
          <w:szCs w:val="20"/>
        </w:rPr>
        <w:t xml:space="preserve"/>
      </w:r>
    </w:p>
    <w:p>
      <w:r>
        <w:br w:type="page"/>
      </w:r>
    </w:p>
    <w:p>
      <w:pPr>
        <w:pStyle w:val="Heading1"/>
        <w:spacing w:before="320" w:after="100"/>
      </w:pPr>
      <w:r>
        <w:rPr>
          <w:rFonts w:ascii="Arial" w:cs="Arial" w:eastAsia="Arial" w:hAnsi="Arial"/>
          <w:b/>
          <w:bCs/>
          <w:color w:val="C9952A"/>
          <w:sz w:val="32"/>
          <w:szCs w:val="32"/>
        </w:rPr>
        <w:t xml:space="preserve">3  Visual Aid 1 — Pre-Entry Confluence Indicators</w:t>
      </w:r>
    </w:p>
    <w:p>
      <w:pPr>
        <w:spacing w:before="80" w:after="60"/>
      </w:pPr>
      <w:r>
        <w:rPr>
          <w:rFonts w:ascii="Arial" w:cs="Arial" w:eastAsia="Arial" w:hAnsi="Arial"/>
          <w:b w:val="false"/>
          <w:bCs w:val="false"/>
          <w:i w:val="false"/>
          <w:iCs w:val="false"/>
          <w:color w:val="0A0E1A"/>
          <w:sz w:val="22"/>
          <w:szCs w:val="22"/>
        </w:rPr>
        <w:t xml:space="preserve">These three indicators give the trader full context before any entry fires. They answer the question: is this a good setup?</w:t>
      </w:r>
    </w:p>
    <w:p>
      <w:pPr>
        <w:spacing w:before="80" w:after="0"/>
      </w:pPr>
      <w:r>
        <w:rPr>
          <w:rFonts w:ascii="Arial" w:cs="Arial" w:eastAsia="Arial" w:hAnsi="Arial"/>
          <w:sz w:val="20"/>
          <w:szCs w:val="20"/>
        </w:rPr>
        <w:t xml:space="preserve"/>
      </w:r>
    </w:p>
    <w:p>
      <w:pPr>
        <w:spacing w:before="100" w:after="100"/>
      </w:pPr>
      <w:r>
        <w:drawing>
          <wp:inline distT="0" distB="0" distL="0" distR="0">
            <wp:extent cx="6096000" cy="36861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6096000" cy="3686175"/>
                    </a:xfrm>
                    <a:prstGeom prst="rect">
                      <a:avLst/>
                    </a:prstGeom>
                  </pic:spPr>
                </pic:pic>
              </a:graphicData>
            </a:graphic>
          </wp:inline>
        </w:drawing>
      </w:r>
    </w:p>
    <w:p>
      <w:pPr>
        <w:spacing w:before="60" w:after="0"/>
      </w:pPr>
      <w:r>
        <w:rPr>
          <w:rFonts w:ascii="Arial" w:cs="Arial" w:eastAsia="Arial" w:hAnsi="Arial"/>
          <w:sz w:val="20"/>
          <w:szCs w:val="20"/>
        </w:rPr>
        <w:t xml:space="preserve"/>
      </w:r>
    </w:p>
    <w:p>
      <w:pPr>
        <w:pStyle w:val="Heading3"/>
        <w:spacing w:before="160" w:after="60"/>
      </w:pPr>
      <w:r>
        <w:rPr>
          <w:rFonts w:ascii="Arial" w:cs="Arial" w:eastAsia="Arial" w:hAnsi="Arial"/>
          <w:b/>
          <w:bCs/>
          <w:color w:val="1CB8A0"/>
          <w:sz w:val="22"/>
          <w:szCs w:val="22"/>
        </w:rPr>
        <w:t xml:space="preserve">1A — Level Strength Score (★1–5)</w:t>
      </w:r>
    </w:p>
    <w:p>
      <w:pPr>
        <w:spacing w:before="80" w:after="60"/>
      </w:pPr>
      <w:r>
        <w:rPr>
          <w:rFonts w:ascii="Arial" w:cs="Arial" w:eastAsia="Arial" w:hAnsi="Arial"/>
          <w:b w:val="false"/>
          <w:bCs w:val="false"/>
          <w:i w:val="false"/>
          <w:iCs w:val="false"/>
          <w:color w:val="0A0E1A"/>
          <w:sz w:val="22"/>
          <w:szCs w:val="22"/>
        </w:rPr>
        <w:t xml:space="preserve">Displayed next to each key level label on the right side of the chart. Updates on every bar as conditions change.</w:t>
      </w:r>
    </w:p>
    <w:p>
      <w:pPr>
        <w:spacing w:before="4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2200"/>
        <w:gridCol w:w="5560"/>
      </w:tblGrid>
      <w:tr>
        <w:tc>
          <w:tcPr>
            <w:tcW w:type="dxa" w:w="16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Score</w:t>
            </w:r>
          </w:p>
        </w:tc>
        <w:tc>
          <w:tcPr>
            <w:tcW w:type="dxa" w:w="22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Display</w:t>
            </w:r>
          </w:p>
        </w:tc>
        <w:tc>
          <w:tcPr>
            <w:tcW w:type="dxa" w:w="55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Conditions present</w:t>
            </w:r>
          </w:p>
        </w:tc>
      </w:tr>
      <w:tr>
        <w:tc>
          <w:tcPr>
            <w:tcW w:type="dxa" w:w="16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bCs/>
                <w:i w:val="false"/>
                <w:iCs w:val="false"/>
                <w:color w:val="C9952A"/>
                <w:sz w:val="20"/>
                <w:szCs w:val="20"/>
              </w:rPr>
              <w:t xml:space="preserve">★★★★★</w:t>
            </w:r>
          </w:p>
        </w:tc>
        <w:tc>
          <w:tcPr>
            <w:tcW w:type="dxa" w:w="22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GOLD — highest priority</w:t>
            </w:r>
          </w:p>
        </w:tc>
        <w:tc>
          <w:tcPr>
            <w:tcW w:type="dxa" w:w="556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Structural level + psych level nearby + 3+ prior touches + EMA aligned + cascading session bias confirmed</w:t>
            </w:r>
          </w:p>
        </w:tc>
      </w:tr>
      <w:tr>
        <w:tc>
          <w:tcPr>
            <w:tcW w:type="dxa" w:w="1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C9952A"/>
                <w:sz w:val="20"/>
                <w:szCs w:val="20"/>
              </w:rPr>
              <w:t xml:space="preserve">★★★★☆</w:t>
            </w:r>
          </w:p>
        </w:tc>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GOLD — high priority</w:t>
            </w:r>
          </w:p>
        </w:tc>
        <w:tc>
          <w:tcPr>
            <w:tcW w:type="dxa" w:w="55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Structural level + 2 of the above confluence factors</w:t>
            </w:r>
          </w:p>
        </w:tc>
      </w:tr>
      <w:tr>
        <w:tc>
          <w:tcPr>
            <w:tcW w:type="dxa" w:w="16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444441"/>
                <w:sz w:val="20"/>
                <w:szCs w:val="20"/>
              </w:rPr>
              <w:t xml:space="preserve">★★★☆☆</w:t>
            </w:r>
          </w:p>
        </w:tc>
        <w:tc>
          <w:tcPr>
            <w:tcW w:type="dxa" w:w="22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WHITE — standard</w:t>
            </w:r>
          </w:p>
        </w:tc>
        <w:tc>
          <w:tcPr>
            <w:tcW w:type="dxa" w:w="556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Structural level + 1 confluence factor (e.g. EMA aligned only)</w:t>
            </w:r>
          </w:p>
        </w:tc>
      </w:tr>
      <w:tr>
        <w:tc>
          <w:tcPr>
            <w:tcW w:type="dxa" w:w="1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w:t>
            </w:r>
          </w:p>
        </w:tc>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GREY — low</w:t>
            </w:r>
          </w:p>
        </w:tc>
        <w:tc>
          <w:tcPr>
            <w:tcW w:type="dxa" w:w="55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Structural level only, no additional confluence</w:t>
            </w:r>
          </w:p>
        </w:tc>
      </w:tr>
      <w:tr>
        <w:tc>
          <w:tcPr>
            <w:tcW w:type="dxa" w:w="16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w:t>
            </w:r>
          </w:p>
        </w:tc>
        <w:tc>
          <w:tcPr>
            <w:tcW w:type="dxa" w:w="22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GREY — avoid</w:t>
            </w:r>
          </w:p>
        </w:tc>
        <w:tc>
          <w:tcPr>
            <w:tcW w:type="dxa" w:w="556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Structural level with opposing confluence (EMA against direction)</w:t>
            </w:r>
          </w:p>
        </w:tc>
      </w:tr>
    </w:tbl>
    <w:p>
      <w:pPr>
        <w:spacing w:before="60" w:after="0"/>
      </w:pPr>
      <w:r>
        <w:rPr>
          <w:rFonts w:ascii="Arial" w:cs="Arial" w:eastAsia="Arial" w:hAnsi="Arial"/>
          <w:sz w:val="20"/>
          <w:szCs w:val="20"/>
        </w:rPr>
        <w:t xml:space="preserve"/>
      </w:r>
    </w:p>
    <w:p>
      <w:pPr>
        <w:pStyle w:val="Heading3"/>
        <w:spacing w:before="160" w:after="60"/>
      </w:pPr>
      <w:r>
        <w:rPr>
          <w:rFonts w:ascii="Arial" w:cs="Arial" w:eastAsia="Arial" w:hAnsi="Arial"/>
          <w:b/>
          <w:bCs/>
          <w:color w:val="1CB8A0"/>
          <w:sz w:val="22"/>
          <w:szCs w:val="22"/>
        </w:rPr>
        <w:t xml:space="preserve">1B — EMA Angle Arrow</w:t>
      </w:r>
    </w:p>
    <w:p>
      <w:pPr>
        <w:spacing w:before="80" w:after="60"/>
      </w:pPr>
      <w:r>
        <w:rPr>
          <w:rFonts w:ascii="Arial" w:cs="Arial" w:eastAsia="Arial" w:hAnsi="Arial"/>
          <w:b w:val="false"/>
          <w:bCs w:val="false"/>
          <w:i w:val="false"/>
          <w:iCs w:val="false"/>
          <w:color w:val="0A0E1A"/>
          <w:sz w:val="22"/>
          <w:szCs w:val="22"/>
        </w:rPr>
        <w:t xml:space="preserve">A small directional arrow displayed beside the current EMA value on the chart, coloured to match the direction. Removes the need to visually assess the EMA slope on every bar.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200"/>
        <w:gridCol w:w="5160"/>
      </w:tblGrid>
      <w:tr>
        <w:tc>
          <w:tcPr>
            <w:tcW w:type="dxa" w:w="20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Arrow</w:t>
            </w:r>
          </w:p>
        </w:tc>
        <w:tc>
          <w:tcPr>
            <w:tcW w:type="dxa" w:w="22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Colour</w:t>
            </w:r>
          </w:p>
        </w:tc>
        <w:tc>
          <w:tcPr>
            <w:tcW w:type="dxa" w:w="51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Meaning</w:t>
            </w:r>
          </w:p>
        </w:tc>
      </w:tr>
      <w:tr>
        <w:tc>
          <w:tcPr>
            <w:tcW w:type="dxa" w:w="2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1A7A68"/>
                <w:sz w:val="20"/>
                <w:szCs w:val="20"/>
              </w:rPr>
              <w:t xml:space="preserve">↑  EMA BULLISH</w:t>
            </w:r>
          </w:p>
        </w:tc>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Green</w:t>
            </w:r>
          </w:p>
        </w:tc>
        <w:tc>
          <w:tcPr>
            <w:tcW w:type="dxa" w:w="51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EMA is rising — long signals preferred</w:t>
            </w:r>
          </w:p>
        </w:tc>
      </w:tr>
      <w:tr>
        <w:tc>
          <w:tcPr>
            <w:tcW w:type="dxa" w:w="20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bCs/>
                <w:i w:val="false"/>
                <w:iCs w:val="false"/>
                <w:color w:val="C0392B"/>
                <w:sz w:val="20"/>
                <w:szCs w:val="20"/>
              </w:rPr>
              <w:t xml:space="preserve">↓  EMA BEARISH</w:t>
            </w:r>
          </w:p>
        </w:tc>
        <w:tc>
          <w:tcPr>
            <w:tcW w:type="dxa" w:w="22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Red</w:t>
            </w:r>
          </w:p>
        </w:tc>
        <w:tc>
          <w:tcPr>
            <w:tcW w:type="dxa" w:w="516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EMA is falling — short signals preferred</w:t>
            </w:r>
          </w:p>
        </w:tc>
      </w:tr>
      <w:tr>
        <w:tc>
          <w:tcPr>
            <w:tcW w:type="dxa" w:w="2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  EMA FLAT</w:t>
            </w:r>
          </w:p>
        </w:tc>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Grey</w:t>
            </w:r>
          </w:p>
        </w:tc>
        <w:tc>
          <w:tcPr>
            <w:tcW w:type="dxa" w:w="51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EMA is flat — both directions possible, lower confidence</w:t>
            </w:r>
          </w:p>
        </w:tc>
      </w:tr>
    </w:tbl>
    <w:p>
      <w:pPr>
        <w:spacing w:before="60" w:after="0"/>
      </w:pPr>
      <w:r>
        <w:rPr>
          <w:rFonts w:ascii="Arial" w:cs="Arial" w:eastAsia="Arial" w:hAnsi="Arial"/>
          <w:sz w:val="20"/>
          <w:szCs w:val="20"/>
        </w:rPr>
        <w:t xml:space="preserve"/>
      </w:r>
    </w:p>
    <w:p>
      <w:pPr>
        <w:pStyle w:val="Heading3"/>
        <w:spacing w:before="160" w:after="60"/>
      </w:pPr>
      <w:r>
        <w:rPr>
          <w:rFonts w:ascii="Arial" w:cs="Arial" w:eastAsia="Arial" w:hAnsi="Arial"/>
          <w:b/>
          <w:bCs/>
          <w:color w:val="1CB8A0"/>
          <w:sz w:val="22"/>
          <w:szCs w:val="22"/>
        </w:rPr>
        <w:t xml:space="preserve">1C — Session Bias Label</w:t>
      </w:r>
    </w:p>
    <w:p>
      <w:pPr>
        <w:spacing w:before="80" w:after="60"/>
      </w:pPr>
      <w:r>
        <w:rPr>
          <w:rFonts w:ascii="Arial" w:cs="Arial" w:eastAsia="Arial" w:hAnsi="Arial"/>
          <w:b w:val="false"/>
          <w:bCs w:val="false"/>
          <w:i w:val="false"/>
          <w:iCs w:val="false"/>
          <w:color w:val="0A0E1A"/>
          <w:sz w:val="22"/>
          <w:szCs w:val="22"/>
        </w:rPr>
        <w:t xml:space="preserve">A small panel in the top-left corner of the chart showing the complete cascading session bias — Asian, London, NY — and the resulting preferred trading direction. Updates at the close of each session.</w:t>
      </w:r>
    </w:p>
    <w:p>
      <w:pPr>
        <w:spacing w:before="4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300"/>
        <w:gridCol w:w="8060"/>
      </w:tblGrid>
      <w:tr>
        <w:tc>
          <w:tcPr>
            <w:tcW w:type="dxa" w:w="1300"/>
            <w:tcBorders>
              <w:top w:val="none" w:color="FFFFFF" w:sz="0"/>
              <w:left w:val="none" w:color="FFFFFF" w:sz="0"/>
              <w:bottom w:val="none" w:color="FFFFFF" w:sz="0"/>
              <w:right w:val="none" w:color="FFFFFF" w:sz="0"/>
            </w:tcBorders>
            <w:shd w:fill="0A0E1A" w:val="clear"/>
            <w:tcMar>
              <w:top w:type="dxa" w:w="100"/>
              <w:left w:type="dxa" w:w="140"/>
              <w:bottom w:type="dxa" w:w="100"/>
              <w:right w:type="dxa" w:w="140"/>
            </w:tcMar>
          </w:tcPr>
          <w:p>
            <w:pPr>
              <w:jc w:val="center"/>
            </w:pPr>
            <w:r>
              <w:rPr>
                <w:rFonts w:ascii="Arial" w:cs="Arial" w:eastAsia="Arial" w:hAnsi="Arial"/>
                <w:b/>
                <w:bCs/>
                <w:color w:val="1CB8A0"/>
                <w:sz w:val="18"/>
                <w:szCs w:val="18"/>
              </w:rPr>
              <w:t xml:space="preserve">NOTE</w:t>
            </w:r>
          </w:p>
        </w:tc>
        <w:tc>
          <w:tcPr>
            <w:tcW w:type="dxa" w:w="8060"/>
            <w:tcBorders>
              <w:top w:val="single" w:color="D1D5E0" w:sz="1"/>
              <w:left w:val="none" w:color="FFFFFF" w:sz="0"/>
              <w:bottom w:val="single" w:color="D1D5E0" w:sz="1"/>
              <w:right w:val="single" w:color="D1D5E0" w:sz="1"/>
            </w:tcBorders>
            <w:shd w:fill="F2F4F8" w:val="clear"/>
            <w:tcMar>
              <w:top w:type="dxa" w:w="100"/>
              <w:left w:type="dxa" w:w="140"/>
              <w:bottom w:type="dxa" w:w="100"/>
              <w:right w:type="dxa" w:w="140"/>
            </w:tcMar>
          </w:tcPr>
          <w:p>
            <w:r>
              <w:rPr>
                <w:rFonts w:ascii="Arial" w:cs="Arial" w:eastAsia="Arial" w:hAnsi="Arial"/>
                <w:color w:val="0A0E1A"/>
                <w:sz w:val="20"/>
                <w:szCs w:val="20"/>
              </w:rPr>
              <w:t xml:space="preserve">The session bias label is informational only. It does not block Oracle from taking signals in the non-preferred direction. The ⚠ COUNTER badge on a signal label (Visual Aid 4B) is the trader-facing warning when Oracle fires against the preferred bias.</w:t>
            </w:r>
          </w:p>
        </w:tc>
      </w:tr>
    </w:tbl>
    <w:p>
      <w:pPr>
        <w:spacing w:before="80" w:after="0"/>
      </w:pPr>
      <w:r>
        <w:rPr>
          <w:rFonts w:ascii="Arial" w:cs="Arial" w:eastAsia="Arial" w:hAnsi="Arial"/>
          <w:sz w:val="20"/>
          <w:szCs w:val="20"/>
        </w:rPr>
        <w:t xml:space="preserve"/>
      </w:r>
    </w:p>
    <w:p>
      <w:r>
        <w:br w:type="page"/>
      </w:r>
    </w:p>
    <w:p>
      <w:pPr>
        <w:pStyle w:val="Heading1"/>
        <w:spacing w:before="320" w:after="100"/>
      </w:pPr>
      <w:r>
        <w:rPr>
          <w:rFonts w:ascii="Arial" w:cs="Arial" w:eastAsia="Arial" w:hAnsi="Arial"/>
          <w:b/>
          <w:bCs/>
          <w:color w:val="C9952A"/>
          <w:sz w:val="32"/>
          <w:szCs w:val="32"/>
        </w:rPr>
        <w:t xml:space="preserve">4  Visual Aid 2 — Trade Management Lines</w:t>
      </w:r>
    </w:p>
    <w:p>
      <w:pPr>
        <w:spacing w:before="80" w:after="60"/>
      </w:pPr>
      <w:r>
        <w:rPr>
          <w:rFonts w:ascii="Arial" w:cs="Arial" w:eastAsia="Arial" w:hAnsi="Arial"/>
          <w:b w:val="false"/>
          <w:bCs w:val="false"/>
          <w:i w:val="false"/>
          <w:iCs w:val="false"/>
          <w:color w:val="0A0E1A"/>
          <w:sz w:val="22"/>
          <w:szCs w:val="22"/>
        </w:rPr>
        <w:t xml:space="preserve">Six elements drawn on the chart when a trade is open. All created on entry using Pine Script line.new() and label.new(). All deleted on exit using line.delete() and label.delete(). The chart returns to its clean state after every trade.</w:t>
      </w:r>
    </w:p>
    <w:p>
      <w:pPr>
        <w:spacing w:before="80" w:after="0"/>
      </w:pPr>
      <w:r>
        <w:rPr>
          <w:rFonts w:ascii="Arial" w:cs="Arial" w:eastAsia="Arial" w:hAnsi="Arial"/>
          <w:sz w:val="20"/>
          <w:szCs w:val="20"/>
        </w:rPr>
        <w:t xml:space="preserve"/>
      </w:r>
    </w:p>
    <w:p>
      <w:pPr>
        <w:spacing w:before="100" w:after="100"/>
      </w:pPr>
      <w:r>
        <w:drawing>
          <wp:inline distT="0" distB="0" distL="0" distR="0">
            <wp:extent cx="6096000" cy="36861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096000" cy="3686175"/>
                    </a:xfrm>
                    <a:prstGeom prst="rect">
                      <a:avLst/>
                    </a:prstGeom>
                  </pic:spPr>
                </pic:pic>
              </a:graphicData>
            </a:graphic>
          </wp:inline>
        </w:drawing>
      </w:r>
    </w:p>
    <w:p>
      <w:pPr>
        <w:spacing w:before="6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1800"/>
        <w:gridCol w:w="2200"/>
        <w:gridCol w:w="4560"/>
      </w:tblGrid>
      <w:tr>
        <w:tc>
          <w:tcPr>
            <w:tcW w:type="dxa" w:w="8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Aid</w:t>
            </w:r>
          </w:p>
        </w:tc>
        <w:tc>
          <w:tcPr>
            <w:tcW w:type="dxa" w:w="18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Element</w:t>
            </w:r>
          </w:p>
        </w:tc>
        <w:tc>
          <w:tcPr>
            <w:tcW w:type="dxa" w:w="22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Style</w:t>
            </w:r>
          </w:p>
        </w:tc>
        <w:tc>
          <w:tcPr>
            <w:tcW w:type="dxa" w:w="45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What it shows</w:t>
            </w:r>
          </w:p>
        </w:tc>
      </w:tr>
      <w:tr>
        <w:tc>
          <w:tcPr>
            <w:tcW w:type="dxa" w:w="8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center"/>
            </w:pPr>
            <w:r>
              <w:rPr>
                <w:rFonts w:ascii="Arial" w:cs="Arial" w:eastAsia="Arial" w:hAnsi="Arial"/>
                <w:b/>
                <w:bCs/>
                <w:i w:val="false"/>
                <w:iCs w:val="false"/>
                <w:color w:val="1CB8A0"/>
                <w:sz w:val="20"/>
                <w:szCs w:val="20"/>
              </w:rPr>
              <w:t xml:space="preserve">2A</w:t>
            </w:r>
          </w:p>
        </w:tc>
        <w:tc>
          <w:tcPr>
            <w:tcW w:type="dxa" w:w="18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Entry line</w:t>
            </w:r>
          </w:p>
        </w:tc>
        <w:tc>
          <w:tcPr>
            <w:tcW w:type="dxa" w:w="22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Blue solid, 2px</w:t>
            </w:r>
          </w:p>
        </w:tc>
        <w:tc>
          <w:tcPr>
            <w:tcW w:type="dxa" w:w="456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Entry price. Shows where the trade began. Never moves.</w:t>
            </w:r>
          </w:p>
        </w:tc>
      </w:tr>
      <w:tr>
        <w:tc>
          <w:tcPr>
            <w:tcW w:type="dxa" w:w="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i w:val="false"/>
                <w:iCs w:val="false"/>
                <w:color w:val="1CB8A0"/>
                <w:sz w:val="20"/>
                <w:szCs w:val="20"/>
              </w:rPr>
              <w:t xml:space="preserve">2B</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Stop Loss line</w:t>
            </w:r>
          </w:p>
        </w:tc>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Red dashed, 1px</w:t>
            </w:r>
          </w:p>
        </w:tc>
        <w:tc>
          <w:tcPr>
            <w:tcW w:type="dxa" w:w="45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Current SL price. Moves to breakeven once threshold reached. Moves again when trailing.</w:t>
            </w:r>
          </w:p>
        </w:tc>
      </w:tr>
      <w:tr>
        <w:tc>
          <w:tcPr>
            <w:tcW w:type="dxa" w:w="8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center"/>
            </w:pPr>
            <w:r>
              <w:rPr>
                <w:rFonts w:ascii="Arial" w:cs="Arial" w:eastAsia="Arial" w:hAnsi="Arial"/>
                <w:b/>
                <w:bCs/>
                <w:i w:val="false"/>
                <w:iCs w:val="false"/>
                <w:color w:val="1CB8A0"/>
                <w:sz w:val="20"/>
                <w:szCs w:val="20"/>
              </w:rPr>
              <w:t xml:space="preserve">2C</w:t>
            </w:r>
          </w:p>
        </w:tc>
        <w:tc>
          <w:tcPr>
            <w:tcW w:type="dxa" w:w="18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Take Profit line</w:t>
            </w:r>
          </w:p>
        </w:tc>
        <w:tc>
          <w:tcPr>
            <w:tcW w:type="dxa" w:w="22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Green dashed, 1px</w:t>
            </w:r>
          </w:p>
        </w:tc>
        <w:tc>
          <w:tcPr>
            <w:tcW w:type="dxa" w:w="456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Structural TP target (next key level in trade direction). Fixed once set.</w:t>
            </w:r>
          </w:p>
        </w:tc>
      </w:tr>
      <w:tr>
        <w:tc>
          <w:tcPr>
            <w:tcW w:type="dxa" w:w="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i w:val="false"/>
                <w:iCs w:val="false"/>
                <w:color w:val="1CB8A0"/>
                <w:sz w:val="20"/>
                <w:szCs w:val="20"/>
              </w:rPr>
              <w:t xml:space="preserve">2D</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Breakeven line</w:t>
            </w:r>
          </w:p>
        </w:tc>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Grey dotted, 1px</w:t>
            </w:r>
          </w:p>
        </w:tc>
        <w:tc>
          <w:tcPr>
            <w:tcW w:type="dxa" w:w="45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Where SL will move to when +15pts threshold is reached. Shows the trader how close they are to a risk-free trade.</w:t>
            </w:r>
          </w:p>
        </w:tc>
      </w:tr>
      <w:tr>
        <w:tc>
          <w:tcPr>
            <w:tcW w:type="dxa" w:w="8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center"/>
            </w:pPr>
            <w:r>
              <w:rPr>
                <w:rFonts w:ascii="Arial" w:cs="Arial" w:eastAsia="Arial" w:hAnsi="Arial"/>
                <w:b/>
                <w:bCs/>
                <w:i w:val="false"/>
                <w:iCs w:val="false"/>
                <w:color w:val="1CB8A0"/>
                <w:sz w:val="20"/>
                <w:szCs w:val="20"/>
              </w:rPr>
              <w:t xml:space="preserve">2E</w:t>
            </w:r>
          </w:p>
        </w:tc>
        <w:tc>
          <w:tcPr>
            <w:tcW w:type="dxa" w:w="18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Live P&amp;L label</w:t>
            </w:r>
          </w:p>
        </w:tc>
        <w:tc>
          <w:tcPr>
            <w:tcW w:type="dxa" w:w="22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Floating, updates each bar</w:t>
            </w:r>
          </w:p>
        </w:tc>
        <w:tc>
          <w:tcPr>
            <w:tcW w:type="dxa" w:w="456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Current unrealised P&amp;L in dollars and points. Green when positive, red when negative.</w:t>
            </w:r>
          </w:p>
        </w:tc>
      </w:tr>
      <w:tr>
        <w:tc>
          <w:tcPr>
            <w:tcW w:type="dxa" w:w="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i w:val="false"/>
                <w:iCs w:val="false"/>
                <w:color w:val="1CB8A0"/>
                <w:sz w:val="20"/>
                <w:szCs w:val="20"/>
              </w:rPr>
              <w:t xml:space="preserve">2F</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Trail zone shading</w:t>
            </w:r>
          </w:p>
        </w:tc>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Teal fill at 8% opacity</w:t>
            </w:r>
          </w:p>
        </w:tc>
        <w:tc>
          <w:tcPr>
            <w:tcW w:type="dxa" w:w="45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Shaded zone between current price and trailing stop. Expands as the trade moves in favour. Makes the trail distance instantly visible.</w:t>
            </w:r>
          </w:p>
        </w:tc>
      </w:tr>
    </w:tbl>
    <w:p>
      <w:pPr>
        <w:spacing w:before="6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300"/>
        <w:gridCol w:w="8060"/>
      </w:tblGrid>
      <w:tr>
        <w:tc>
          <w:tcPr>
            <w:tcW w:type="dxa" w:w="1300"/>
            <w:tcBorders>
              <w:top w:val="none" w:color="FFFFFF" w:sz="0"/>
              <w:left w:val="none" w:color="FFFFFF" w:sz="0"/>
              <w:bottom w:val="none" w:color="FFFFFF" w:sz="0"/>
              <w:right w:val="none" w:color="FFFFFF" w:sz="0"/>
            </w:tcBorders>
            <w:shd w:fill="0A0E1A" w:val="clear"/>
            <w:tcMar>
              <w:top w:type="dxa" w:w="100"/>
              <w:left w:type="dxa" w:w="140"/>
              <w:bottom w:type="dxa" w:w="100"/>
              <w:right w:type="dxa" w:w="140"/>
            </w:tcMar>
          </w:tcPr>
          <w:p>
            <w:pPr>
              <w:jc w:val="center"/>
            </w:pPr>
            <w:r>
              <w:rPr>
                <w:rFonts w:ascii="Arial" w:cs="Arial" w:eastAsia="Arial" w:hAnsi="Arial"/>
                <w:b/>
                <w:bCs/>
                <w:color w:val="C9952A"/>
                <w:sz w:val="18"/>
                <w:szCs w:val="18"/>
              </w:rPr>
              <w:t xml:space="preserve">TRADE STATUS PANEL</w:t>
            </w:r>
          </w:p>
        </w:tc>
        <w:tc>
          <w:tcPr>
            <w:tcW w:type="dxa" w:w="8060"/>
            <w:tcBorders>
              <w:top w:val="single" w:color="D1D5E0" w:sz="1"/>
              <w:left w:val="none" w:color="FFFFFF" w:sz="0"/>
              <w:bottom w:val="single" w:color="D1D5E0" w:sz="1"/>
              <w:right w:val="single" w:color="D1D5E0" w:sz="1"/>
            </w:tcBorders>
            <w:shd w:fill="F2F4F8" w:val="clear"/>
            <w:tcMar>
              <w:top w:type="dxa" w:w="100"/>
              <w:left w:type="dxa" w:w="140"/>
              <w:bottom w:type="dxa" w:w="100"/>
              <w:right w:type="dxa" w:w="140"/>
            </w:tcMar>
          </w:tcPr>
          <w:p>
            <w:r>
              <w:rPr>
                <w:rFonts w:ascii="Arial" w:cs="Arial" w:eastAsia="Arial" w:hAnsi="Arial"/>
                <w:color w:val="0A0E1A"/>
                <w:sz w:val="20"/>
                <w:szCs w:val="20"/>
              </w:rPr>
              <w:t xml:space="preserve">The small panel in the top-left corner (visible in the mockup) shows a compact summary of the open trade: direction, entry price, risk in dollars, current SL, breakeven status, trail level, and live unrealised P&amp;L. This condenses all management information into one panel so the trader does not need to read the individual lines.</w:t>
            </w:r>
          </w:p>
        </w:tc>
      </w:tr>
    </w:tbl>
    <w:p>
      <w:pPr>
        <w:spacing w:before="80" w:after="0"/>
      </w:pPr>
      <w:r>
        <w:rPr>
          <w:rFonts w:ascii="Arial" w:cs="Arial" w:eastAsia="Arial" w:hAnsi="Arial"/>
          <w:sz w:val="20"/>
          <w:szCs w:val="20"/>
        </w:rPr>
        <w:t xml:space="preserve"/>
      </w:r>
    </w:p>
    <w:p>
      <w:r>
        <w:br w:type="page"/>
      </w:r>
    </w:p>
    <w:p>
      <w:pPr>
        <w:pStyle w:val="Heading1"/>
        <w:spacing w:before="320" w:after="100"/>
      </w:pPr>
      <w:r>
        <w:rPr>
          <w:rFonts w:ascii="Arial" w:cs="Arial" w:eastAsia="Arial" w:hAnsi="Arial"/>
          <w:b/>
          <w:bCs/>
          <w:color w:val="C9952A"/>
          <w:sz w:val="32"/>
          <w:szCs w:val="32"/>
        </w:rPr>
        <w:t xml:space="preserve">5  Visual Aid 3 — Level Flip Indicator &amp; Signal Quality Badges</w:t>
      </w:r>
    </w:p>
    <w:p>
      <w:pPr>
        <w:spacing w:before="80" w:after="60"/>
      </w:pPr>
      <w:r>
        <w:rPr>
          <w:rFonts w:ascii="Arial" w:cs="Arial" w:eastAsia="Arial" w:hAnsi="Arial"/>
          <w:b w:val="false"/>
          <w:bCs w:val="false"/>
          <w:i w:val="false"/>
          <w:iCs w:val="false"/>
          <w:color w:val="0A0E1A"/>
          <w:sz w:val="22"/>
          <w:szCs w:val="22"/>
        </w:rPr>
        <w:t xml:space="preserve">These indicators answer the question: how good is this signal and is this level still acting in its default role?</w:t>
      </w:r>
    </w:p>
    <w:p>
      <w:pPr>
        <w:spacing w:before="80" w:after="0"/>
      </w:pPr>
      <w:r>
        <w:rPr>
          <w:rFonts w:ascii="Arial" w:cs="Arial" w:eastAsia="Arial" w:hAnsi="Arial"/>
          <w:sz w:val="20"/>
          <w:szCs w:val="20"/>
        </w:rPr>
        <w:t xml:space="preserve"/>
      </w:r>
    </w:p>
    <w:p>
      <w:pPr>
        <w:spacing w:before="100" w:after="100"/>
      </w:pPr>
      <w:r>
        <w:drawing>
          <wp:inline distT="0" distB="0" distL="0" distR="0">
            <wp:extent cx="6096000" cy="36861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6096000" cy="3686175"/>
                    </a:xfrm>
                    <a:prstGeom prst="rect">
                      <a:avLst/>
                    </a:prstGeom>
                  </pic:spPr>
                </pic:pic>
              </a:graphicData>
            </a:graphic>
          </wp:inline>
        </w:drawing>
      </w:r>
    </w:p>
    <w:p>
      <w:pPr>
        <w:spacing w:before="60" w:after="0"/>
      </w:pPr>
      <w:r>
        <w:rPr>
          <w:rFonts w:ascii="Arial" w:cs="Arial" w:eastAsia="Arial" w:hAnsi="Arial"/>
          <w:sz w:val="20"/>
          <w:szCs w:val="20"/>
        </w:rPr>
        <w:t xml:space="preserve"/>
      </w:r>
    </w:p>
    <w:p>
      <w:pPr>
        <w:pStyle w:val="Heading3"/>
        <w:spacing w:before="160" w:after="60"/>
      </w:pPr>
      <w:r>
        <w:rPr>
          <w:rFonts w:ascii="Arial" w:cs="Arial" w:eastAsia="Arial" w:hAnsi="Arial"/>
          <w:b/>
          <w:bCs/>
          <w:color w:val="1CB8A0"/>
          <w:sz w:val="22"/>
          <w:szCs w:val="22"/>
        </w:rPr>
        <w:t xml:space="preserve">3A — Level Touch Counter</w:t>
      </w:r>
    </w:p>
    <w:p>
      <w:pPr>
        <w:spacing w:before="80" w:after="60"/>
      </w:pPr>
      <w:r>
        <w:rPr>
          <w:rFonts w:ascii="Arial" w:cs="Arial" w:eastAsia="Arial" w:hAnsi="Arial"/>
          <w:b w:val="false"/>
          <w:bCs w:val="false"/>
          <w:i w:val="false"/>
          <w:iCs w:val="false"/>
          <w:color w:val="0A0E1A"/>
          <w:sz w:val="22"/>
          <w:szCs w:val="22"/>
        </w:rPr>
        <w:t xml:space="preserve">A small counter next to each level label showing how many times price has touched that level this week. The touch counter directly supports the two-touch entry logic — it makes Touch 1 and Touch 2 visible to the trader.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Display</w:t>
            </w:r>
          </w:p>
        </w:tc>
        <w:tc>
          <w:tcPr>
            <w:tcW w:type="dxa" w:w="7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Meaning</w:t>
            </w:r>
          </w:p>
        </w:tc>
      </w:tr>
      <w:tr>
        <w:tc>
          <w:tcPr>
            <w:tcW w:type="dxa" w:w="2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×1</w:t>
            </w:r>
          </w:p>
        </w:tc>
        <w:tc>
          <w:tcPr>
            <w:tcW w:type="dxa" w:w="7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First touch — level flagged but no retest entry yet. Oracle is watching.</w:t>
            </w:r>
          </w:p>
        </w:tc>
      </w:tr>
      <w:tr>
        <w:tc>
          <w:tcPr>
            <w:tcW w:type="dxa" w:w="20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1CB8A0"/>
                <w:sz w:val="20"/>
                <w:szCs w:val="20"/>
              </w:rPr>
              <w:t xml:space="preserve">×2</w:t>
            </w:r>
          </w:p>
        </w:tc>
        <w:tc>
          <w:tcPr>
            <w:tcW w:type="dxa" w:w="736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Second touch — retest entry valid. This is the trigger bar.</w:t>
            </w:r>
          </w:p>
        </w:tc>
      </w:tr>
      <w:tr>
        <w:tc>
          <w:tcPr>
            <w:tcW w:type="dxa" w:w="20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C9952A"/>
                <w:sz w:val="20"/>
                <w:szCs w:val="20"/>
              </w:rPr>
              <w:t xml:space="preserve">×3+</w:t>
            </w:r>
          </w:p>
        </w:tc>
        <w:tc>
          <w:tcPr>
            <w:tcW w:type="dxa" w:w="7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Multiple rejections — highest conviction. Level has been tested repeatedly and held each time. Third retest entries carry the most weight.</w:t>
            </w:r>
          </w:p>
        </w:tc>
      </w:tr>
    </w:tbl>
    <w:p>
      <w:pPr>
        <w:spacing w:before="60" w:after="0"/>
      </w:pPr>
      <w:r>
        <w:rPr>
          <w:rFonts w:ascii="Arial" w:cs="Arial" w:eastAsia="Arial" w:hAnsi="Arial"/>
          <w:sz w:val="20"/>
          <w:szCs w:val="20"/>
        </w:rPr>
        <w:t xml:space="preserve"/>
      </w:r>
    </w:p>
    <w:p>
      <w:pPr>
        <w:pStyle w:val="Heading3"/>
        <w:spacing w:before="160" w:after="60"/>
      </w:pPr>
      <w:r>
        <w:rPr>
          <w:rFonts w:ascii="Arial" w:cs="Arial" w:eastAsia="Arial" w:hAnsi="Arial"/>
          <w:b/>
          <w:bCs/>
          <w:color w:val="1CB8A0"/>
          <w:sz w:val="22"/>
          <w:szCs w:val="22"/>
        </w:rPr>
        <w:t xml:space="preserve">3B — Level Flip Indicator</w:t>
      </w:r>
    </w:p>
    <w:p>
      <w:pPr>
        <w:spacing w:before="80" w:after="60"/>
      </w:pPr>
      <w:r>
        <w:rPr>
          <w:rFonts w:ascii="Arial" w:cs="Arial" w:eastAsia="Arial" w:hAnsi="Arial"/>
          <w:b w:val="false"/>
          <w:bCs w:val="false"/>
          <w:i w:val="false"/>
          <w:iCs w:val="false"/>
          <w:color w:val="0A0E1A"/>
          <w:sz w:val="22"/>
          <w:szCs w:val="22"/>
        </w:rPr>
        <w:t xml:space="preserve">When a level flips its role — resistance becomes support or vice versa — the line colour changes and a FLIPPED badge appears. The badge remains until price returns through the level decisively, at which point the original colour and label are restored.</w:t>
      </w:r>
    </w:p>
    <w:p>
      <w:pPr>
        <w:spacing w:before="4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400"/>
        <w:gridCol w:w="4560"/>
      </w:tblGrid>
      <w:tr>
        <w:tc>
          <w:tcPr>
            <w:tcW w:type="dxa" w:w="24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State</w:t>
            </w:r>
          </w:p>
        </w:tc>
        <w:tc>
          <w:tcPr>
            <w:tcW w:type="dxa" w:w="24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Visual</w:t>
            </w:r>
          </w:p>
        </w:tc>
        <w:tc>
          <w:tcPr>
            <w:tcW w:type="dxa" w:w="45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Trading implication</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Default resistance (PDH/PWH/PMH)</w:t>
            </w:r>
          </w:p>
        </w:tc>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Red line, no badge</w:t>
            </w:r>
          </w:p>
        </w:tc>
        <w:tc>
          <w:tcPr>
            <w:tcW w:type="dxa" w:w="45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Shorts only — longs blocked at this level</w:t>
            </w:r>
          </w:p>
        </w:tc>
      </w:tr>
      <w:tr>
        <w:tc>
          <w:tcPr>
            <w:tcW w:type="dxa" w:w="24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FLIPPED — now support</w:t>
            </w:r>
          </w:p>
        </w:tc>
        <w:tc>
          <w:tcPr>
            <w:tcW w:type="dxa" w:w="24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1CB8A0"/>
                <w:sz w:val="20"/>
                <w:szCs w:val="20"/>
              </w:rPr>
              <w:t xml:space="preserve">Teal line + FLIPPED badge</w:t>
            </w:r>
          </w:p>
        </w:tc>
        <w:tc>
          <w:tcPr>
            <w:tcW w:type="dxa" w:w="456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Longs now valid — shorts blocked. Level has reversed its role.</w:t>
            </w:r>
          </w:p>
        </w:tc>
      </w:tr>
      <w:tr>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Default support (PDL/PWL/PML)</w:t>
            </w:r>
          </w:p>
        </w:tc>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1A7A68"/>
                <w:sz w:val="20"/>
                <w:szCs w:val="20"/>
              </w:rPr>
              <w:t xml:space="preserve">Green line, no badge</w:t>
            </w:r>
          </w:p>
        </w:tc>
        <w:tc>
          <w:tcPr>
            <w:tcW w:type="dxa" w:w="45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Longs only — shorts blocked at this level</w:t>
            </w:r>
          </w:p>
        </w:tc>
      </w:tr>
      <w:tr>
        <w:tc>
          <w:tcPr>
            <w:tcW w:type="dxa" w:w="24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0A0E1A"/>
                <w:sz w:val="20"/>
                <w:szCs w:val="20"/>
              </w:rPr>
              <w:t xml:space="preserve">FLIPPED — now resistance</w:t>
            </w:r>
          </w:p>
        </w:tc>
        <w:tc>
          <w:tcPr>
            <w:tcW w:type="dxa" w:w="24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C0392B"/>
                <w:sz w:val="20"/>
                <w:szCs w:val="20"/>
              </w:rPr>
              <w:t xml:space="preserve">Red line + FLIPPED badge</w:t>
            </w:r>
          </w:p>
        </w:tc>
        <w:tc>
          <w:tcPr>
            <w:tcW w:type="dxa" w:w="456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Shorts now valid — longs blocked. Level has reversed its role.</w:t>
            </w:r>
          </w:p>
        </w:tc>
      </w:tr>
    </w:tbl>
    <w:p>
      <w:pPr>
        <w:spacing w:before="60" w:after="0"/>
      </w:pPr>
      <w:r>
        <w:rPr>
          <w:rFonts w:ascii="Arial" w:cs="Arial" w:eastAsia="Arial" w:hAnsi="Arial"/>
          <w:sz w:val="20"/>
          <w:szCs w:val="20"/>
        </w:rPr>
        <w:t xml:space="preserve"/>
      </w:r>
    </w:p>
    <w:p>
      <w:pPr>
        <w:pStyle w:val="Heading3"/>
        <w:spacing w:before="160" w:after="60"/>
      </w:pPr>
      <w:r>
        <w:rPr>
          <w:rFonts w:ascii="Arial" w:cs="Arial" w:eastAsia="Arial" w:hAnsi="Arial"/>
          <w:b/>
          <w:bCs/>
          <w:color w:val="1CB8A0"/>
          <w:sz w:val="22"/>
          <w:szCs w:val="22"/>
        </w:rPr>
        <w:t xml:space="preserve">4A — Signal Confluence Badge</w:t>
      </w:r>
    </w:p>
    <w:p>
      <w:pPr>
        <w:spacing w:before="80" w:after="60"/>
      </w:pPr>
      <w:r>
        <w:rPr>
          <w:rFonts w:ascii="Arial" w:cs="Arial" w:eastAsia="Arial" w:hAnsi="Arial"/>
          <w:b w:val="false"/>
          <w:bCs w:val="false"/>
          <w:i w:val="false"/>
          <w:iCs w:val="false"/>
          <w:color w:val="0A0E1A"/>
          <w:sz w:val="22"/>
          <w:szCs w:val="22"/>
        </w:rPr>
        <w:t xml:space="preserve">Every signal label on the chart carries a quality badge. The badge colour and star rating reflect the number of confluence factors present at the time of entry.</w:t>
      </w:r>
    </w:p>
    <w:p>
      <w:pPr>
        <w:spacing w:before="4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200"/>
        <w:gridCol w:w="5360"/>
      </w:tblGrid>
      <w:tr>
        <w:tc>
          <w:tcPr>
            <w:tcW w:type="dxa" w:w="18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Badge</w:t>
            </w:r>
          </w:p>
        </w:tc>
        <w:tc>
          <w:tcPr>
            <w:tcW w:type="dxa" w:w="22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When shown</w:t>
            </w:r>
          </w:p>
        </w:tc>
        <w:tc>
          <w:tcPr>
            <w:tcW w:type="dxa" w:w="53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Trader guidance</w:t>
            </w:r>
          </w:p>
        </w:tc>
      </w:tr>
      <w:tr>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C9952A"/>
                <w:sz w:val="20"/>
                <w:szCs w:val="20"/>
              </w:rPr>
              <w:t xml:space="preserve">GOLD ★★★★★</w:t>
            </w:r>
          </w:p>
        </w:tc>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Multi-signal + max confluence</w:t>
            </w:r>
          </w:p>
        </w:tc>
        <w:tc>
          <w:tcPr>
            <w:tcW w:type="dxa" w:w="5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Highest conviction setup. Full position size. All confluence factors aligned.</w:t>
            </w:r>
          </w:p>
        </w:tc>
      </w:tr>
      <w:tr>
        <w:tc>
          <w:tcPr>
            <w:tcW w:type="dxa" w:w="18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bCs/>
                <w:i w:val="false"/>
                <w:iCs w:val="false"/>
                <w:color w:val="1CB8A0"/>
                <w:sz w:val="20"/>
                <w:szCs w:val="20"/>
              </w:rPr>
              <w:t xml:space="preserve">TEAL ★★★★☆</w:t>
            </w:r>
          </w:p>
        </w:tc>
        <w:tc>
          <w:tcPr>
            <w:tcW w:type="dxa" w:w="22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Single signal + high confluence</w:t>
            </w:r>
          </w:p>
        </w:tc>
        <w:tc>
          <w:tcPr>
            <w:tcW w:type="dxa" w:w="536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High quality. Standard position size. One or two factors not fully aligned.</w:t>
            </w:r>
          </w:p>
        </w:tc>
      </w:tr>
      <w:tr>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3A4255"/>
                <w:sz w:val="20"/>
                <w:szCs w:val="20"/>
              </w:rPr>
              <w:t xml:space="preserve">WHITE ★★★☆☆</w:t>
            </w:r>
          </w:p>
        </w:tc>
        <w:tc>
          <w:tcPr>
            <w:tcW w:type="dxa" w:w="22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Standard confluence</w:t>
            </w:r>
          </w:p>
        </w:tc>
        <w:tc>
          <w:tcPr>
            <w:tcW w:type="dxa" w:w="53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Normal quality. Standard position. Entry is valid but not exceptional.</w:t>
            </w:r>
          </w:p>
        </w:tc>
      </w:tr>
      <w:tr>
        <w:tc>
          <w:tcPr>
            <w:tcW w:type="dxa" w:w="18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GREY ★★☆☆☆</w:t>
            </w:r>
          </w:p>
        </w:tc>
        <w:tc>
          <w:tcPr>
            <w:tcW w:type="dxa" w:w="22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Low confluence</w:t>
            </w:r>
          </w:p>
        </w:tc>
        <w:tc>
          <w:tcPr>
            <w:tcW w:type="dxa" w:w="536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Trade fires but consider reduced size or monitoring closely. Oracle enters but trader should be aware.</w:t>
            </w:r>
          </w:p>
        </w:tc>
      </w:tr>
    </w:tbl>
    <w:p>
      <w:pPr>
        <w:spacing w:before="60" w:after="0"/>
      </w:pPr>
      <w:r>
        <w:rPr>
          <w:rFonts w:ascii="Arial" w:cs="Arial" w:eastAsia="Arial" w:hAnsi="Arial"/>
          <w:sz w:val="20"/>
          <w:szCs w:val="20"/>
        </w:rPr>
        <w:t xml:space="preserve"/>
      </w:r>
    </w:p>
    <w:p>
      <w:pPr>
        <w:pStyle w:val="Heading3"/>
        <w:spacing w:before="160" w:after="60"/>
      </w:pPr>
      <w:r>
        <w:rPr>
          <w:rFonts w:ascii="Arial" w:cs="Arial" w:eastAsia="Arial" w:hAnsi="Arial"/>
          <w:b/>
          <w:bCs/>
          <w:color w:val="1CB8A0"/>
          <w:sz w:val="22"/>
          <w:szCs w:val="22"/>
        </w:rPr>
        <w:t xml:space="preserve">4B — Against-Trend Warning (⚠ COUNTER)</w:t>
      </w:r>
    </w:p>
    <w:p>
      <w:pPr>
        <w:spacing w:before="80" w:after="60"/>
      </w:pPr>
      <w:r>
        <w:rPr>
          <w:rFonts w:ascii="Arial" w:cs="Arial" w:eastAsia="Arial" w:hAnsi="Arial"/>
          <w:b w:val="false"/>
          <w:bCs w:val="false"/>
          <w:i w:val="false"/>
          <w:iCs w:val="false"/>
          <w:color w:val="0A0E1A"/>
          <w:sz w:val="22"/>
          <w:szCs w:val="22"/>
        </w:rPr>
        <w:t xml:space="preserve">When Oracle fires a signal in a direction that opposes the current session bias — a long when the session bias is bearish, or a short when the session bias is bullish — a small red warning badge appears alongside the signal label. The trade still fires. The warning is informational, not a block.</w:t>
      </w:r>
    </w:p>
    <w:p>
      <w:pPr>
        <w:spacing w:before="40" w:after="0"/>
      </w:pPr>
      <w:r>
        <w:rPr>
          <w:rFonts w:ascii="Arial" w:cs="Arial" w:eastAsia="Arial" w:hAnsi="Arial"/>
          <w:sz w:val="20"/>
          <w:szCs w:val="20"/>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300"/>
        <w:gridCol w:w="8060"/>
      </w:tblGrid>
      <w:tr>
        <w:tc>
          <w:tcPr>
            <w:tcW w:type="dxa" w:w="1300"/>
            <w:tcBorders>
              <w:top w:val="none" w:color="FFFFFF" w:sz="0"/>
              <w:left w:val="none" w:color="FFFFFF" w:sz="0"/>
              <w:bottom w:val="none" w:color="FFFFFF" w:sz="0"/>
              <w:right w:val="none" w:color="FFFFFF" w:sz="0"/>
            </w:tcBorders>
            <w:shd w:fill="0A0E1A" w:val="clear"/>
            <w:tcMar>
              <w:top w:type="dxa" w:w="100"/>
              <w:left w:type="dxa" w:w="140"/>
              <w:bottom w:type="dxa" w:w="100"/>
              <w:right w:type="dxa" w:w="140"/>
            </w:tcMar>
          </w:tcPr>
          <w:p>
            <w:pPr>
              <w:jc w:val="center"/>
            </w:pPr>
            <w:r>
              <w:rPr>
                <w:rFonts w:ascii="Arial" w:cs="Arial" w:eastAsia="Arial" w:hAnsi="Arial"/>
                <w:b/>
                <w:bCs/>
                <w:color w:val="C9952A"/>
                <w:sz w:val="18"/>
                <w:szCs w:val="18"/>
              </w:rPr>
              <w:t xml:space="preserve">CONTEXT</w:t>
            </w:r>
          </w:p>
        </w:tc>
        <w:tc>
          <w:tcPr>
            <w:tcW w:type="dxa" w:w="8060"/>
            <w:tcBorders>
              <w:top w:val="single" w:color="D1D5E0" w:sz="1"/>
              <w:left w:val="none" w:color="FFFFFF" w:sz="0"/>
              <w:bottom w:val="single" w:color="D1D5E0" w:sz="1"/>
              <w:right w:val="single" w:color="D1D5E0" w:sz="1"/>
            </w:tcBorders>
            <w:shd w:fill="FFF3CD" w:val="clear"/>
            <w:tcMar>
              <w:top w:type="dxa" w:w="100"/>
              <w:left w:type="dxa" w:w="140"/>
              <w:bottom w:type="dxa" w:w="100"/>
              <w:right w:type="dxa" w:w="140"/>
            </w:tcMar>
          </w:tcPr>
          <w:p>
            <w:r>
              <w:rPr>
                <w:rFonts w:ascii="Arial" w:cs="Arial" w:eastAsia="Arial" w:hAnsi="Arial"/>
                <w:color w:val="0A0E1A"/>
                <w:sz w:val="20"/>
                <w:szCs w:val="20"/>
              </w:rPr>
              <w:t xml:space="preserve">The against-trend warning was identified as necessary during the v1.5 forward test where multiple counter-trend longs fired in strongly bearish sessions. The EMA filter fix in v1.6 will reduce these occurrences — the visual warning provides an additional layer of awareness while the EMA fix beds in.</w:t>
            </w:r>
          </w:p>
        </w:tc>
      </w:tr>
    </w:tbl>
    <w:p>
      <w:pPr>
        <w:spacing w:before="80" w:after="0"/>
      </w:pPr>
      <w:r>
        <w:rPr>
          <w:rFonts w:ascii="Arial" w:cs="Arial" w:eastAsia="Arial" w:hAnsi="Arial"/>
          <w:sz w:val="20"/>
          <w:szCs w:val="20"/>
        </w:rPr>
        <w:t xml:space="preserve"/>
      </w:r>
    </w:p>
    <w:p>
      <w:r>
        <w:br w:type="page"/>
      </w:r>
    </w:p>
    <w:p>
      <w:pPr>
        <w:pStyle w:val="Heading1"/>
        <w:spacing w:before="320" w:after="100"/>
      </w:pPr>
      <w:r>
        <w:rPr>
          <w:rFonts w:ascii="Arial" w:cs="Arial" w:eastAsia="Arial" w:hAnsi="Arial"/>
          <w:b/>
          <w:bCs/>
          <w:color w:val="C9952A"/>
          <w:sz w:val="32"/>
          <w:szCs w:val="32"/>
        </w:rPr>
        <w:t xml:space="preserve">6  Visual Aid 4 — Distance Panel &amp; Full Bias Display</w:t>
      </w:r>
    </w:p>
    <w:p>
      <w:pPr>
        <w:spacing w:before="80" w:after="60"/>
      </w:pPr>
      <w:r>
        <w:rPr>
          <w:rFonts w:ascii="Arial" w:cs="Arial" w:eastAsia="Arial" w:hAnsi="Arial"/>
          <w:b w:val="false"/>
          <w:bCs w:val="false"/>
          <w:i w:val="false"/>
          <w:iCs w:val="false"/>
          <w:color w:val="0A0E1A"/>
          <w:sz w:val="22"/>
          <w:szCs w:val="22"/>
        </w:rPr>
        <w:t xml:space="preserve">Two compact information panels that give complete market context without requiring the trader to scan the entire chart.</w:t>
      </w:r>
    </w:p>
    <w:p>
      <w:pPr>
        <w:spacing w:before="80" w:after="0"/>
      </w:pPr>
      <w:r>
        <w:rPr>
          <w:rFonts w:ascii="Arial" w:cs="Arial" w:eastAsia="Arial" w:hAnsi="Arial"/>
          <w:sz w:val="20"/>
          <w:szCs w:val="20"/>
        </w:rPr>
        <w:t xml:space="preserve"/>
      </w:r>
    </w:p>
    <w:p>
      <w:pPr>
        <w:spacing w:before="100" w:after="100"/>
      </w:pPr>
      <w:r>
        <w:drawing>
          <wp:inline distT="0" distB="0" distL="0" distR="0">
            <wp:extent cx="6096000" cy="36861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6096000" cy="3686175"/>
                    </a:xfrm>
                    <a:prstGeom prst="rect">
                      <a:avLst/>
                    </a:prstGeom>
                  </pic:spPr>
                </pic:pic>
              </a:graphicData>
            </a:graphic>
          </wp:inline>
        </w:drawing>
      </w:r>
    </w:p>
    <w:p>
      <w:pPr>
        <w:spacing w:before="60" w:after="0"/>
      </w:pPr>
      <w:r>
        <w:rPr>
          <w:rFonts w:ascii="Arial" w:cs="Arial" w:eastAsia="Arial" w:hAnsi="Arial"/>
          <w:sz w:val="20"/>
          <w:szCs w:val="20"/>
        </w:rPr>
        <w:t xml:space="preserve"/>
      </w:r>
    </w:p>
    <w:p>
      <w:pPr>
        <w:pStyle w:val="Heading3"/>
        <w:spacing w:before="160" w:after="60"/>
      </w:pPr>
      <w:r>
        <w:rPr>
          <w:rFonts w:ascii="Arial" w:cs="Arial" w:eastAsia="Arial" w:hAnsi="Arial"/>
          <w:b/>
          <w:bCs/>
          <w:color w:val="1CB8A0"/>
          <w:sz w:val="22"/>
          <w:szCs w:val="22"/>
        </w:rPr>
        <w:t xml:space="preserve">3C — Distance-to-Level Panel</w:t>
      </w:r>
    </w:p>
    <w:p>
      <w:pPr>
        <w:spacing w:before="80" w:after="60"/>
      </w:pPr>
      <w:r>
        <w:rPr>
          <w:rFonts w:ascii="Arial" w:cs="Arial" w:eastAsia="Arial" w:hAnsi="Arial"/>
          <w:b w:val="false"/>
          <w:bCs w:val="false"/>
          <w:i w:val="false"/>
          <w:iCs w:val="false"/>
          <w:color w:val="0A0E1A"/>
          <w:sz w:val="22"/>
          <w:szCs w:val="22"/>
        </w:rPr>
        <w:t xml:space="preserve">A panel on the right side of the chart listing all active levels sorted by proximity to current price. Shows the level name, exact price, distance in points, and the bias direction (L for Long only, S for Short only). Updates every bar.</w:t>
      </w:r>
    </w:p>
    <w:p>
      <w:pPr>
        <w:spacing w:before="40" w:after="0"/>
      </w:pPr>
      <w:r>
        <w:rPr>
          <w:rFonts w:ascii="Arial" w:cs="Arial" w:eastAsia="Arial" w:hAnsi="Arial"/>
          <w:sz w:val="20"/>
          <w:szCs w:val="20"/>
        </w:rPr>
        <w:t xml:space="preserve"/>
      </w:r>
    </w:p>
    <w:p>
      <w:pPr>
        <w:spacing w:before="80" w:after="60"/>
      </w:pPr>
      <w:r>
        <w:rPr>
          <w:rFonts w:ascii="Arial" w:cs="Arial" w:eastAsia="Arial" w:hAnsi="Arial"/>
          <w:b w:val="false"/>
          <w:bCs w:val="false"/>
          <w:i w:val="false"/>
          <w:iCs w:val="false"/>
          <w:color w:val="0A0E1A"/>
          <w:sz w:val="22"/>
          <w:szCs w:val="22"/>
        </w:rPr>
        <w:t xml:space="preserve">This panel answers the single most important pre-entry question: where am I relative to the structure? A trader can see at a glance that the nearest level above is the Asian High at +25pts (SHORT only) and the nearest level below is the Psychological 24,100 at -40pts — without needing to scan the chart or do mental arithmetic.</w:t>
      </w:r>
    </w:p>
    <w:p>
      <w:pPr>
        <w:spacing w:before="60" w:after="0"/>
      </w:pPr>
      <w:r>
        <w:rPr>
          <w:rFonts w:ascii="Arial" w:cs="Arial" w:eastAsia="Arial" w:hAnsi="Arial"/>
          <w:sz w:val="20"/>
          <w:szCs w:val="20"/>
        </w:rPr>
        <w:t xml:space="preserve"/>
      </w:r>
    </w:p>
    <w:p>
      <w:pPr>
        <w:pStyle w:val="Heading3"/>
        <w:spacing w:before="160" w:after="60"/>
      </w:pPr>
      <w:r>
        <w:rPr>
          <w:rFonts w:ascii="Arial" w:cs="Arial" w:eastAsia="Arial" w:hAnsi="Arial"/>
          <w:b/>
          <w:bCs/>
          <w:color w:val="1CB8A0"/>
          <w:sz w:val="22"/>
          <w:szCs w:val="22"/>
        </w:rPr>
        <w:t xml:space="preserve">Session Bias Cascade Panel</w:t>
      </w:r>
    </w:p>
    <w:p>
      <w:pPr>
        <w:spacing w:before="80" w:after="60"/>
      </w:pPr>
      <w:r>
        <w:rPr>
          <w:rFonts w:ascii="Arial" w:cs="Arial" w:eastAsia="Arial" w:hAnsi="Arial"/>
          <w:b w:val="false"/>
          <w:bCs w:val="false"/>
          <w:i w:val="false"/>
          <w:iCs w:val="false"/>
          <w:color w:val="0A0E1A"/>
          <w:sz w:val="22"/>
          <w:szCs w:val="22"/>
        </w:rPr>
        <w:t xml:space="preserve">Displays the complete cascading bias calculation alongside the distance panel. Shows Asian session bias, London session bias, current NY status, HTF sentiment reading (from v1.6 Sentiment), EMA slope, and the resulting preferred direction — all in one compact panel.</w:t>
      </w:r>
    </w:p>
    <w:p>
      <w:pPr>
        <w:spacing w:before="40" w:after="0"/>
      </w:pPr>
      <w:r>
        <w:rPr>
          <w:rFonts w:ascii="Arial" w:cs="Arial" w:eastAsia="Arial" w:hAnsi="Arial"/>
          <w:sz w:val="20"/>
          <w:szCs w:val="20"/>
        </w:rPr>
        <w:t xml:space="preserve"/>
      </w:r>
    </w:p>
    <w:p>
      <w:pPr>
        <w:spacing w:before="80" w:after="60"/>
      </w:pPr>
      <w:r>
        <w:rPr>
          <w:rFonts w:ascii="Arial" w:cs="Arial" w:eastAsia="Arial" w:hAnsi="Arial"/>
          <w:b w:val="false"/>
          <w:bCs w:val="false"/>
          <w:i w:val="false"/>
          <w:iCs w:val="false"/>
          <w:color w:val="0A0E1A"/>
          <w:sz w:val="22"/>
          <w:szCs w:val="22"/>
        </w:rPr>
        <w:t xml:space="preserve">The bias cascade panel was designed specifically to support the v1.7 session bias filter. In v1.5 there is no visible indication of session bias anywhere on the chart. A trader watching Oracle fire a signal had no way to know whether it was with or against the session context. This panel makes that information permanently visible.</w:t>
      </w:r>
    </w:p>
    <w:p>
      <w:pPr>
        <w:spacing w:before="80" w:after="0"/>
      </w:pPr>
      <w:r>
        <w:rPr>
          <w:rFonts w:ascii="Arial" w:cs="Arial" w:eastAsia="Arial" w:hAnsi="Arial"/>
          <w:sz w:val="20"/>
          <w:szCs w:val="20"/>
        </w:rPr>
        <w:t xml:space="preserve"/>
      </w:r>
    </w:p>
    <w:p>
      <w:r>
        <w:br w:type="page"/>
      </w:r>
    </w:p>
    <w:p>
      <w:pPr>
        <w:pStyle w:val="Heading1"/>
        <w:spacing w:before="320" w:after="100"/>
      </w:pPr>
      <w:r>
        <w:rPr>
          <w:rFonts w:ascii="Arial" w:cs="Arial" w:eastAsia="Arial" w:hAnsi="Arial"/>
          <w:b/>
          <w:bCs/>
          <w:color w:val="C9952A"/>
          <w:sz w:val="32"/>
          <w:szCs w:val="32"/>
        </w:rPr>
        <w:t xml:space="preserve">7  Visual Aid 5 — Combined Reference Chart</w:t>
      </w:r>
    </w:p>
    <w:p>
      <w:pPr>
        <w:spacing w:before="80" w:after="60"/>
      </w:pPr>
      <w:r>
        <w:rPr>
          <w:rFonts w:ascii="Arial" w:cs="Arial" w:eastAsia="Arial" w:hAnsi="Arial"/>
          <w:b w:val="false"/>
          <w:bCs w:val="false"/>
          <w:i w:val="false"/>
          <w:iCs w:val="false"/>
          <w:color w:val="0A0E1A"/>
          <w:sz w:val="22"/>
          <w:szCs w:val="22"/>
        </w:rPr>
        <w:t xml:space="preserve">The chart below shows all visual aids active simultaneously on a single chart — the view a trader will see in Oracle v1.7 during a live session.</w:t>
      </w:r>
    </w:p>
    <w:p>
      <w:pPr>
        <w:spacing w:before="80" w:after="0"/>
      </w:pPr>
      <w:r>
        <w:rPr>
          <w:rFonts w:ascii="Arial" w:cs="Arial" w:eastAsia="Arial" w:hAnsi="Arial"/>
          <w:sz w:val="20"/>
          <w:szCs w:val="20"/>
        </w:rPr>
        <w:t xml:space="preserve"/>
      </w:r>
    </w:p>
    <w:p>
      <w:pPr>
        <w:spacing w:before="100" w:after="100"/>
      </w:pPr>
      <w:r>
        <w:drawing>
          <wp:inline distT="0" distB="0" distL="0" distR="0">
            <wp:extent cx="6096000" cy="37719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6096000" cy="3771900"/>
                    </a:xfrm>
                    <a:prstGeom prst="rect">
                      <a:avLst/>
                    </a:prstGeom>
                  </pic:spPr>
                </pic:pic>
              </a:graphicData>
            </a:graphic>
          </wp:inline>
        </w:drawing>
      </w:r>
    </w:p>
    <w:p>
      <w:pPr>
        <w:spacing w:before="60" w:after="0"/>
      </w:pPr>
      <w:r>
        <w:rPr>
          <w:rFonts w:ascii="Arial" w:cs="Arial" w:eastAsia="Arial" w:hAnsi="Arial"/>
          <w:sz w:val="20"/>
          <w:szCs w:val="20"/>
        </w:rPr>
        <w:t xml:space="preserve"/>
      </w:r>
    </w:p>
    <w:p>
      <w:pPr>
        <w:spacing w:before="80" w:after="60"/>
      </w:pPr>
      <w:r>
        <w:rPr>
          <w:rFonts w:ascii="Arial" w:cs="Arial" w:eastAsia="Arial" w:hAnsi="Arial"/>
          <w:b w:val="false"/>
          <w:bCs w:val="false"/>
          <w:i w:val="false"/>
          <w:iCs w:val="false"/>
          <w:color w:val="0A0E1A"/>
          <w:sz w:val="22"/>
          <w:szCs w:val="22"/>
        </w:rPr>
        <w:t xml:space="preserve">Reading the combined chart from left to right:</w:t>
      </w:r>
    </w:p>
    <w:p>
      <w:pPr>
        <w:pStyle w:val="ListParagraph"/>
        <w:numPr>
          <w:ilvl w:val="0"/>
          <w:numId w:val="2"/>
        </w:numPr>
        <w:spacing w:before="60" w:after="50"/>
      </w:pPr>
      <w:r>
        <w:rPr>
          <w:rFonts w:ascii="Arial" w:cs="Arial" w:eastAsia="Arial" w:hAnsi="Arial"/>
          <w:b/>
          <w:bCs/>
          <w:i w:val="false"/>
          <w:iCs w:val="false"/>
          <w:color w:val="0A0E1A"/>
          <w:sz w:val="22"/>
          <w:szCs w:val="22"/>
        </w:rPr>
        <w:t xml:space="preserve">Session bias panel (top left) — </w:t>
      </w:r>
      <w:r>
        <w:rPr>
          <w:rFonts w:ascii="Arial" w:cs="Arial" w:eastAsia="Arial" w:hAnsi="Arial"/>
          <w:b w:val="false"/>
          <w:bCs w:val="false"/>
          <w:i w:val="false"/>
          <w:iCs w:val="false"/>
          <w:color w:val="0A0E1A"/>
          <w:sz w:val="22"/>
          <w:szCs w:val="22"/>
        </w:rPr>
        <w:t xml:space="preserve">Asian and London both bearish. Shorts preferred. Visible before any signal fires.</w:t>
      </w:r>
    </w:p>
    <w:p>
      <w:pPr>
        <w:pStyle w:val="ListParagraph"/>
        <w:numPr>
          <w:ilvl w:val="0"/>
          <w:numId w:val="2"/>
        </w:numPr>
        <w:spacing w:before="60" w:after="50"/>
      </w:pPr>
      <w:r>
        <w:rPr>
          <w:rFonts w:ascii="Arial" w:cs="Arial" w:eastAsia="Arial" w:hAnsi="Arial"/>
          <w:b/>
          <w:bCs/>
          <w:i w:val="false"/>
          <w:iCs w:val="false"/>
          <w:color w:val="0A0E1A"/>
          <w:sz w:val="22"/>
          <w:szCs w:val="22"/>
        </w:rPr>
        <w:t xml:space="preserve">Nearest levels panel — </w:t>
      </w:r>
      <w:r>
        <w:rPr>
          <w:rFonts w:ascii="Arial" w:cs="Arial" w:eastAsia="Arial" w:hAnsi="Arial"/>
          <w:b w:val="false"/>
          <w:bCs w:val="false"/>
          <w:i w:val="false"/>
          <w:iCs w:val="false"/>
          <w:color w:val="0A0E1A"/>
          <w:sz w:val="22"/>
          <w:szCs w:val="22"/>
        </w:rPr>
        <w:t xml:space="preserve">Asian High +25pts above, PDL -200pts below. Trader knows immediately where the key levels are relative to current price.</w:t>
      </w:r>
    </w:p>
    <w:p>
      <w:pPr>
        <w:pStyle w:val="ListParagraph"/>
        <w:numPr>
          <w:ilvl w:val="0"/>
          <w:numId w:val="2"/>
        </w:numPr>
        <w:spacing w:before="60" w:after="50"/>
      </w:pPr>
      <w:r>
        <w:rPr>
          <w:rFonts w:ascii="Arial" w:cs="Arial" w:eastAsia="Arial" w:hAnsi="Arial"/>
          <w:b/>
          <w:bCs/>
          <w:i w:val="false"/>
          <w:iCs w:val="false"/>
          <w:color w:val="0A0E1A"/>
          <w:sz w:val="22"/>
          <w:szCs w:val="22"/>
        </w:rPr>
        <w:t xml:space="preserve">EMA arrow — </w:t>
      </w:r>
      <w:r>
        <w:rPr>
          <w:rFonts w:ascii="Arial" w:cs="Arial" w:eastAsia="Arial" w:hAnsi="Arial"/>
          <w:b w:val="false"/>
          <w:bCs w:val="false"/>
          <w:i w:val="false"/>
          <w:iCs w:val="false"/>
          <w:color w:val="0A0E1A"/>
          <w:sz w:val="22"/>
          <w:szCs w:val="22"/>
        </w:rPr>
        <w:t xml:space="preserve">Bearish. Confirms session bias visually on the chart itself.</w:t>
      </w:r>
    </w:p>
    <w:p>
      <w:pPr>
        <w:pStyle w:val="ListParagraph"/>
        <w:numPr>
          <w:ilvl w:val="0"/>
          <w:numId w:val="2"/>
        </w:numPr>
        <w:spacing w:before="60" w:after="50"/>
      </w:pPr>
      <w:r>
        <w:rPr>
          <w:rFonts w:ascii="Arial" w:cs="Arial" w:eastAsia="Arial" w:hAnsi="Arial"/>
          <w:b/>
          <w:bCs/>
          <w:i w:val="false"/>
          <w:iCs w:val="false"/>
          <w:color w:val="0A0E1A"/>
          <w:sz w:val="22"/>
          <w:szCs w:val="22"/>
        </w:rPr>
        <w:t xml:space="preserve">Level lines with touch counters and strength scores — </w:t>
      </w:r>
      <w:r>
        <w:rPr>
          <w:rFonts w:ascii="Arial" w:cs="Arial" w:eastAsia="Arial" w:hAnsi="Arial"/>
          <w:b w:val="false"/>
          <w:bCs w:val="false"/>
          <w:i w:val="false"/>
          <w:iCs w:val="false"/>
          <w:color w:val="0A0E1A"/>
          <w:sz w:val="22"/>
          <w:szCs w:val="22"/>
        </w:rPr>
        <w:t xml:space="preserve">Asian High shows ×2 touches and ★★★★☆. PDL shows ×3 touches and ★★★★★. Level quality visible at a glance.</w:t>
      </w:r>
    </w:p>
    <w:p>
      <w:pPr>
        <w:pStyle w:val="ListParagraph"/>
        <w:numPr>
          <w:ilvl w:val="0"/>
          <w:numId w:val="2"/>
        </w:numPr>
        <w:spacing w:before="60" w:after="50"/>
      </w:pPr>
      <w:r>
        <w:rPr>
          <w:rFonts w:ascii="Arial" w:cs="Arial" w:eastAsia="Arial" w:hAnsi="Arial"/>
          <w:b/>
          <w:bCs/>
          <w:i w:val="false"/>
          <w:iCs w:val="false"/>
          <w:color w:val="0A0E1A"/>
          <w:sz w:val="22"/>
          <w:szCs w:val="22"/>
        </w:rPr>
        <w:t xml:space="preserve">Touch 1 signal — </w:t>
      </w:r>
      <w:r>
        <w:rPr>
          <w:rFonts w:ascii="Arial" w:cs="Arial" w:eastAsia="Arial" w:hAnsi="Arial"/>
          <w:b w:val="false"/>
          <w:bCs w:val="false"/>
          <w:i w:val="false"/>
          <w:iCs w:val="false"/>
          <w:color w:val="0A0E1A"/>
          <w:sz w:val="22"/>
          <w:szCs w:val="22"/>
        </w:rPr>
        <w:t xml:space="preserve">SHORT fires at Asian High. White badge (★★★☆☆) — standard quality. Level flagged for retest watch.</w:t>
      </w:r>
    </w:p>
    <w:p>
      <w:pPr>
        <w:pStyle w:val="ListParagraph"/>
        <w:numPr>
          <w:ilvl w:val="0"/>
          <w:numId w:val="2"/>
        </w:numPr>
        <w:spacing w:before="60" w:after="50"/>
      </w:pPr>
      <w:r>
        <w:rPr>
          <w:rFonts w:ascii="Arial" w:cs="Arial" w:eastAsia="Arial" w:hAnsi="Arial"/>
          <w:b/>
          <w:bCs/>
          <w:i w:val="false"/>
          <w:iCs w:val="false"/>
          <w:color w:val="0A0E1A"/>
          <w:sz w:val="22"/>
          <w:szCs w:val="22"/>
        </w:rPr>
        <w:t xml:space="preserve">Touch 2 signal — </w:t>
      </w:r>
      <w:r>
        <w:rPr>
          <w:rFonts w:ascii="Arial" w:cs="Arial" w:eastAsia="Arial" w:hAnsi="Arial"/>
          <w:b w:val="false"/>
          <w:bCs w:val="false"/>
          <w:i w:val="false"/>
          <w:iCs w:val="false"/>
          <w:color w:val="0A0E1A"/>
          <w:sz w:val="22"/>
          <w:szCs w:val="22"/>
        </w:rPr>
        <w:t xml:space="preserve">SHORT fires on retest. Gold badge (GOLD ★★★★★) — maximum confluence. Two-touch confirmation complete.</w:t>
      </w:r>
    </w:p>
    <w:p>
      <w:pPr>
        <w:pStyle w:val="ListParagraph"/>
        <w:numPr>
          <w:ilvl w:val="0"/>
          <w:numId w:val="2"/>
        </w:numPr>
        <w:spacing w:before="60" w:after="50"/>
      </w:pPr>
      <w:r>
        <w:rPr>
          <w:rFonts w:ascii="Arial" w:cs="Arial" w:eastAsia="Arial" w:hAnsi="Arial"/>
          <w:b/>
          <w:bCs/>
          <w:i w:val="false"/>
          <w:iCs w:val="false"/>
          <w:color w:val="0A0E1A"/>
          <w:sz w:val="22"/>
          <w:szCs w:val="22"/>
        </w:rPr>
        <w:t xml:space="preserve">Trade management lines — </w:t>
      </w:r>
      <w:r>
        <w:rPr>
          <w:rFonts w:ascii="Arial" w:cs="Arial" w:eastAsia="Arial" w:hAnsi="Arial"/>
          <w:b w:val="false"/>
          <w:bCs w:val="false"/>
          <w:i w:val="false"/>
          <w:iCs w:val="false"/>
          <w:color w:val="0A0E1A"/>
          <w:sz w:val="22"/>
          <w:szCs w:val="22"/>
        </w:rPr>
        <w:t xml:space="preserve">Entry (blue), SL (red dashed), TP at PDL (green dashed), breakeven line (grey dotted), trail zone shading (teal), live P&amp;L label.</w:t>
      </w:r>
    </w:p>
    <w:p>
      <w:pPr>
        <w:spacing w:before="80" w:after="0"/>
      </w:pPr>
      <w:r>
        <w:rPr>
          <w:rFonts w:ascii="Arial" w:cs="Arial" w:eastAsia="Arial" w:hAnsi="Arial"/>
          <w:sz w:val="20"/>
          <w:szCs w:val="20"/>
        </w:rPr>
        <w:t xml:space="preserve"/>
      </w:r>
    </w:p>
    <w:p>
      <w:r>
        <w:br w:type="page"/>
      </w:r>
    </w:p>
    <w:p>
      <w:pPr>
        <w:pStyle w:val="Heading1"/>
        <w:spacing w:before="320" w:after="100"/>
      </w:pPr>
      <w:r>
        <w:rPr>
          <w:rFonts w:ascii="Arial" w:cs="Arial" w:eastAsia="Arial" w:hAnsi="Arial"/>
          <w:b/>
          <w:bCs/>
          <w:color w:val="C9952A"/>
          <w:sz w:val="32"/>
          <w:szCs w:val="32"/>
        </w:rPr>
        <w:t xml:space="preserve">8  Implementation Notes</w:t>
      </w:r>
    </w:p>
    <w:p>
      <w:pPr>
        <w:pStyle w:val="Heading2"/>
        <w:spacing w:before="220" w:after="80"/>
      </w:pPr>
      <w:r>
        <w:rPr>
          <w:rFonts w:ascii="Arial" w:cs="Arial" w:eastAsia="Arial" w:hAnsi="Arial"/>
          <w:b/>
          <w:bCs/>
          <w:color w:val="0A0E1A"/>
          <w:sz w:val="26"/>
          <w:szCs w:val="26"/>
        </w:rPr>
        <w:t xml:space="preserve">8.1  Priority order for development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1800"/>
        <w:gridCol w:w="2400"/>
        <w:gridCol w:w="4560"/>
      </w:tblGrid>
      <w:tr>
        <w:tc>
          <w:tcPr>
            <w:tcW w:type="dxa" w:w="6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P</w:t>
            </w:r>
          </w:p>
        </w:tc>
        <w:tc>
          <w:tcPr>
            <w:tcW w:type="dxa" w:w="18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Aid</w:t>
            </w:r>
          </w:p>
        </w:tc>
        <w:tc>
          <w:tcPr>
            <w:tcW w:type="dxa" w:w="240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Complexity</w:t>
            </w:r>
          </w:p>
        </w:tc>
        <w:tc>
          <w:tcPr>
            <w:tcW w:type="dxa" w:w="4560"/>
            <w:tcBorders>
              <w:top w:val="single" w:color="C9952A" w:sz="1"/>
              <w:left w:val="single" w:color="C9952A" w:sz="1"/>
              <w:bottom w:val="single" w:color="C9952A" w:sz="1"/>
              <w:right w:val="single" w:color="C9952A" w:sz="1"/>
            </w:tcBorders>
            <w:shd w:fill="0A0E1A" w:val="clear"/>
            <w:tcMar>
              <w:top w:type="dxa" w:w="100"/>
              <w:left w:type="dxa" w:w="140"/>
              <w:bottom w:type="dxa" w:w="100"/>
              <w:right w:type="dxa" w:w="140"/>
            </w:tcMar>
          </w:tcPr>
          <w:p>
            <w:r>
              <w:rPr>
                <w:rFonts w:ascii="Arial" w:cs="Arial" w:eastAsia="Arial" w:hAnsi="Arial"/>
                <w:b/>
                <w:bCs/>
                <w:color w:val="E8B84B"/>
                <w:sz w:val="20"/>
                <w:szCs w:val="20"/>
              </w:rPr>
              <w:t xml:space="preserve">Dependency</w:t>
            </w:r>
          </w:p>
        </w:tc>
      </w:tr>
      <w:tr>
        <w:tc>
          <w:tcPr>
            <w:tcW w:type="dxa" w:w="6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center"/>
            </w:pPr>
            <w:r>
              <w:rPr>
                <w:rFonts w:ascii="Arial" w:cs="Arial" w:eastAsia="Arial" w:hAnsi="Arial"/>
                <w:b/>
                <w:bCs/>
                <w:i w:val="false"/>
                <w:iCs w:val="false"/>
                <w:color w:val="1CB8A0"/>
                <w:sz w:val="20"/>
                <w:szCs w:val="20"/>
              </w:rPr>
              <w:t xml:space="preserve">1</w:t>
            </w:r>
          </w:p>
        </w:tc>
        <w:tc>
          <w:tcPr>
            <w:tcW w:type="dxa" w:w="18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2A–2F  Trade management lines</w:t>
            </w:r>
          </w:p>
        </w:tc>
        <w:tc>
          <w:tcPr>
            <w:tcW w:type="dxa" w:w="24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center"/>
            </w:pPr>
            <w:r>
              <w:rPr>
                <w:rFonts w:ascii="Arial" w:cs="Arial" w:eastAsia="Arial" w:hAnsi="Arial"/>
                <w:b w:val="false"/>
                <w:bCs w:val="false"/>
                <w:i w:val="false"/>
                <w:iCs w:val="false"/>
                <w:color w:val="C9952A"/>
                <w:sz w:val="20"/>
                <w:szCs w:val="20"/>
              </w:rPr>
              <w:t xml:space="preserve">Medium</w:t>
            </w:r>
          </w:p>
        </w:tc>
        <w:tc>
          <w:tcPr>
            <w:tcW w:type="dxa" w:w="456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Requires Item 6 exit logic overhaul to be in place first</w:t>
            </w:r>
          </w:p>
        </w:tc>
      </w:tr>
      <w:tr>
        <w:tc>
          <w:tcPr>
            <w:tcW w:type="dxa" w:w="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i w:val="false"/>
                <w:iCs w:val="false"/>
                <w:color w:val="1CB8A0"/>
                <w:sz w:val="20"/>
                <w:szCs w:val="20"/>
              </w:rPr>
              <w:t xml:space="preserve">2</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1B  EMA angle arrow</w:t>
            </w:r>
          </w:p>
        </w:tc>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val="false"/>
                <w:bCs w:val="false"/>
                <w:i w:val="false"/>
                <w:iCs w:val="false"/>
                <w:color w:val="1A7A68"/>
                <w:sz w:val="20"/>
                <w:szCs w:val="20"/>
              </w:rPr>
              <w:t xml:space="preserve">Low</w:t>
            </w:r>
          </w:p>
        </w:tc>
        <w:tc>
          <w:tcPr>
            <w:tcW w:type="dxa" w:w="45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Standalone — no dependencies</w:t>
            </w:r>
          </w:p>
        </w:tc>
      </w:tr>
      <w:tr>
        <w:tc>
          <w:tcPr>
            <w:tcW w:type="dxa" w:w="6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center"/>
            </w:pPr>
            <w:r>
              <w:rPr>
                <w:rFonts w:ascii="Arial" w:cs="Arial" w:eastAsia="Arial" w:hAnsi="Arial"/>
                <w:b/>
                <w:bCs/>
                <w:i w:val="false"/>
                <w:iCs w:val="false"/>
                <w:color w:val="1CB8A0"/>
                <w:sz w:val="20"/>
                <w:szCs w:val="20"/>
              </w:rPr>
              <w:t xml:space="preserve">3</w:t>
            </w:r>
          </w:p>
        </w:tc>
        <w:tc>
          <w:tcPr>
            <w:tcW w:type="dxa" w:w="18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3B  Level flip indicator</w:t>
            </w:r>
          </w:p>
        </w:tc>
        <w:tc>
          <w:tcPr>
            <w:tcW w:type="dxa" w:w="24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center"/>
            </w:pPr>
            <w:r>
              <w:rPr>
                <w:rFonts w:ascii="Arial" w:cs="Arial" w:eastAsia="Arial" w:hAnsi="Arial"/>
                <w:b w:val="false"/>
                <w:bCs w:val="false"/>
                <w:i w:val="false"/>
                <w:iCs w:val="false"/>
                <w:color w:val="C9952A"/>
                <w:sz w:val="20"/>
                <w:szCs w:val="20"/>
              </w:rPr>
              <w:t xml:space="preserve">Medium</w:t>
            </w:r>
          </w:p>
        </w:tc>
        <w:tc>
          <w:tcPr>
            <w:tcW w:type="dxa" w:w="456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Requires Item 1 level bias system from v1.6</w:t>
            </w:r>
          </w:p>
        </w:tc>
      </w:tr>
      <w:tr>
        <w:tc>
          <w:tcPr>
            <w:tcW w:type="dxa" w:w="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i w:val="false"/>
                <w:iCs w:val="false"/>
                <w:color w:val="1CB8A0"/>
                <w:sz w:val="20"/>
                <w:szCs w:val="20"/>
              </w:rPr>
              <w:t xml:space="preserve">4</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1C  Session bias label</w:t>
            </w:r>
          </w:p>
        </w:tc>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val="false"/>
                <w:bCs w:val="false"/>
                <w:i w:val="false"/>
                <w:iCs w:val="false"/>
                <w:color w:val="C9952A"/>
                <w:sz w:val="20"/>
                <w:szCs w:val="20"/>
              </w:rPr>
              <w:t xml:space="preserve">Medium</w:t>
            </w:r>
          </w:p>
        </w:tc>
        <w:tc>
          <w:tcPr>
            <w:tcW w:type="dxa" w:w="45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Requires v1.7 cascading session bias (Item 24)</w:t>
            </w:r>
          </w:p>
        </w:tc>
      </w:tr>
      <w:tr>
        <w:tc>
          <w:tcPr>
            <w:tcW w:type="dxa" w:w="6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center"/>
            </w:pPr>
            <w:r>
              <w:rPr>
                <w:rFonts w:ascii="Arial" w:cs="Arial" w:eastAsia="Arial" w:hAnsi="Arial"/>
                <w:b/>
                <w:bCs/>
                <w:i w:val="false"/>
                <w:iCs w:val="false"/>
                <w:color w:val="1CB8A0"/>
                <w:sz w:val="20"/>
                <w:szCs w:val="20"/>
              </w:rPr>
              <w:t xml:space="preserve">5</w:t>
            </w:r>
          </w:p>
        </w:tc>
        <w:tc>
          <w:tcPr>
            <w:tcW w:type="dxa" w:w="18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3A  Level touch counter</w:t>
            </w:r>
          </w:p>
        </w:tc>
        <w:tc>
          <w:tcPr>
            <w:tcW w:type="dxa" w:w="24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center"/>
            </w:pPr>
            <w:r>
              <w:rPr>
                <w:rFonts w:ascii="Arial" w:cs="Arial" w:eastAsia="Arial" w:hAnsi="Arial"/>
                <w:b w:val="false"/>
                <w:bCs w:val="false"/>
                <w:i w:val="false"/>
                <w:iCs w:val="false"/>
                <w:color w:val="1A7A68"/>
                <w:sz w:val="20"/>
                <w:szCs w:val="20"/>
              </w:rPr>
              <w:t xml:space="preserve">Low</w:t>
            </w:r>
          </w:p>
        </w:tc>
        <w:tc>
          <w:tcPr>
            <w:tcW w:type="dxa" w:w="456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Requires Item 1 two-touch logic from v1.6</w:t>
            </w:r>
          </w:p>
        </w:tc>
      </w:tr>
      <w:tr>
        <w:tc>
          <w:tcPr>
            <w:tcW w:type="dxa" w:w="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i w:val="false"/>
                <w:iCs w:val="false"/>
                <w:color w:val="1CB8A0"/>
                <w:sz w:val="20"/>
                <w:szCs w:val="20"/>
              </w:rPr>
              <w:t xml:space="preserve">6</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4A  Signal confluence badge</w:t>
            </w:r>
          </w:p>
        </w:tc>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val="false"/>
                <w:bCs w:val="false"/>
                <w:i w:val="false"/>
                <w:iCs w:val="false"/>
                <w:color w:val="C9952A"/>
                <w:sz w:val="20"/>
                <w:szCs w:val="20"/>
              </w:rPr>
              <w:t xml:space="preserve">Medium</w:t>
            </w:r>
          </w:p>
        </w:tc>
        <w:tc>
          <w:tcPr>
            <w:tcW w:type="dxa" w:w="45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Requires level strength scoring system</w:t>
            </w:r>
          </w:p>
        </w:tc>
      </w:tr>
      <w:tr>
        <w:tc>
          <w:tcPr>
            <w:tcW w:type="dxa" w:w="6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center"/>
            </w:pPr>
            <w:r>
              <w:rPr>
                <w:rFonts w:ascii="Arial" w:cs="Arial" w:eastAsia="Arial" w:hAnsi="Arial"/>
                <w:b/>
                <w:bCs/>
                <w:i w:val="false"/>
                <w:iCs w:val="false"/>
                <w:color w:val="1CB8A0"/>
                <w:sz w:val="20"/>
                <w:szCs w:val="20"/>
              </w:rPr>
              <w:t xml:space="preserve">7</w:t>
            </w:r>
          </w:p>
        </w:tc>
        <w:tc>
          <w:tcPr>
            <w:tcW w:type="dxa" w:w="18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4B  Against-trend warning</w:t>
            </w:r>
          </w:p>
        </w:tc>
        <w:tc>
          <w:tcPr>
            <w:tcW w:type="dxa" w:w="24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center"/>
            </w:pPr>
            <w:r>
              <w:rPr>
                <w:rFonts w:ascii="Arial" w:cs="Arial" w:eastAsia="Arial" w:hAnsi="Arial"/>
                <w:b w:val="false"/>
                <w:bCs w:val="false"/>
                <w:i w:val="false"/>
                <w:iCs w:val="false"/>
                <w:color w:val="1A7A68"/>
                <w:sz w:val="20"/>
                <w:szCs w:val="20"/>
              </w:rPr>
              <w:t xml:space="preserve">Low</w:t>
            </w:r>
          </w:p>
        </w:tc>
        <w:tc>
          <w:tcPr>
            <w:tcW w:type="dxa" w:w="456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Requires session bias label (1C) to be in place</w:t>
            </w:r>
          </w:p>
        </w:tc>
      </w:tr>
      <w:tr>
        <w:tc>
          <w:tcPr>
            <w:tcW w:type="dxa" w:w="6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bCs/>
                <w:i w:val="false"/>
                <w:iCs w:val="false"/>
                <w:color w:val="1CB8A0"/>
                <w:sz w:val="20"/>
                <w:szCs w:val="20"/>
              </w:rPr>
              <w:t xml:space="preserve">8</w:t>
            </w:r>
          </w:p>
        </w:tc>
        <w:tc>
          <w:tcPr>
            <w:tcW w:type="dxa" w:w="18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3C  Distance-to-level panel</w:t>
            </w:r>
          </w:p>
        </w:tc>
        <w:tc>
          <w:tcPr>
            <w:tcW w:type="dxa" w:w="240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center"/>
            </w:pPr>
            <w:r>
              <w:rPr>
                <w:rFonts w:ascii="Arial" w:cs="Arial" w:eastAsia="Arial" w:hAnsi="Arial"/>
                <w:b w:val="false"/>
                <w:bCs w:val="false"/>
                <w:i w:val="false"/>
                <w:iCs w:val="false"/>
                <w:color w:val="1A7A68"/>
                <w:sz w:val="20"/>
                <w:szCs w:val="20"/>
              </w:rPr>
              <w:t xml:space="preserve">Low</w:t>
            </w:r>
          </w:p>
        </w:tc>
        <w:tc>
          <w:tcPr>
            <w:tcW w:type="dxa" w:w="4560"/>
            <w:tcBorders>
              <w:top w:val="single" w:color="D1D5E0" w:sz="1"/>
              <w:left w:val="single" w:color="D1D5E0" w:sz="1"/>
              <w:bottom w:val="single" w:color="D1D5E0" w:sz="1"/>
              <w:right w:val="single" w:color="D1D5E0" w:sz="1"/>
            </w:tcBorders>
            <w:shd w:fill="FFFFFF"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Standalone — uses existing level calculations</w:t>
            </w:r>
          </w:p>
        </w:tc>
      </w:tr>
      <w:tr>
        <w:tc>
          <w:tcPr>
            <w:tcW w:type="dxa" w:w="6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center"/>
            </w:pPr>
            <w:r>
              <w:rPr>
                <w:rFonts w:ascii="Arial" w:cs="Arial" w:eastAsia="Arial" w:hAnsi="Arial"/>
                <w:b/>
                <w:bCs/>
                <w:i w:val="false"/>
                <w:iCs w:val="false"/>
                <w:color w:val="1CB8A0"/>
                <w:sz w:val="20"/>
                <w:szCs w:val="20"/>
              </w:rPr>
              <w:t xml:space="preserve">9</w:t>
            </w:r>
          </w:p>
        </w:tc>
        <w:tc>
          <w:tcPr>
            <w:tcW w:type="dxa" w:w="18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bCs/>
                <w:i w:val="false"/>
                <w:iCs w:val="false"/>
                <w:color w:val="0A0E1A"/>
                <w:sz w:val="20"/>
                <w:szCs w:val="20"/>
              </w:rPr>
              <w:t xml:space="preserve">1A  Level strength score</w:t>
            </w:r>
          </w:p>
        </w:tc>
        <w:tc>
          <w:tcPr>
            <w:tcW w:type="dxa" w:w="240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center"/>
            </w:pPr>
            <w:r>
              <w:rPr>
                <w:rFonts w:ascii="Arial" w:cs="Arial" w:eastAsia="Arial" w:hAnsi="Arial"/>
                <w:b w:val="false"/>
                <w:bCs w:val="false"/>
                <w:i w:val="false"/>
                <w:iCs w:val="false"/>
                <w:color w:val="C0392B"/>
                <w:sz w:val="20"/>
                <w:szCs w:val="20"/>
              </w:rPr>
              <w:t xml:space="preserve">High</w:t>
            </w:r>
          </w:p>
        </w:tc>
        <w:tc>
          <w:tcPr>
            <w:tcW w:type="dxa" w:w="4560"/>
            <w:tcBorders>
              <w:top w:val="single" w:color="D1D5E0" w:sz="1"/>
              <w:left w:val="single" w:color="D1D5E0" w:sz="1"/>
              <w:bottom w:val="single" w:color="D1D5E0" w:sz="1"/>
              <w:right w:val="single" w:color="D1D5E0" w:sz="1"/>
            </w:tcBorders>
            <w:shd w:fill="F2F4F8" w:val="clear"/>
            <w:tcMar>
              <w:top w:type="dxa" w:w="100"/>
              <w:left w:type="dxa" w:w="140"/>
              <w:bottom w:type="dxa" w:w="100"/>
              <w:right w:type="dxa" w:w="140"/>
            </w:tcMar>
          </w:tcPr>
          <w:p>
            <w:pPr>
              <w:jc w:val="left"/>
            </w:pPr>
            <w:r>
              <w:rPr>
                <w:rFonts w:ascii="Arial" w:cs="Arial" w:eastAsia="Arial" w:hAnsi="Arial"/>
                <w:b w:val="false"/>
                <w:bCs w:val="false"/>
                <w:i w:val="false"/>
                <w:iCs w:val="false"/>
                <w:color w:val="3A4255"/>
                <w:sz w:val="20"/>
                <w:szCs w:val="20"/>
              </w:rPr>
              <w:t xml:space="preserve">Requires all other systems to be in place and tested</w:t>
            </w:r>
          </w:p>
        </w:tc>
      </w:tr>
    </w:tbl>
    <w:p>
      <w:pPr>
        <w:spacing w:before="60" w:after="0"/>
      </w:pPr>
      <w:r>
        <w:rPr>
          <w:rFonts w:ascii="Arial" w:cs="Arial" w:eastAsia="Arial" w:hAnsi="Arial"/>
          <w:sz w:val="20"/>
          <w:szCs w:val="20"/>
        </w:rPr>
        <w:t xml:space="preserve"/>
      </w:r>
    </w:p>
    <w:p>
      <w:pPr>
        <w:pStyle w:val="Heading2"/>
        <w:spacing w:before="220" w:after="80"/>
      </w:pPr>
      <w:r>
        <w:rPr>
          <w:rFonts w:ascii="Arial" w:cs="Arial" w:eastAsia="Arial" w:hAnsi="Arial"/>
          <w:b/>
          <w:bCs/>
          <w:color w:val="0A0E1A"/>
          <w:sz w:val="26"/>
          <w:szCs w:val="26"/>
        </w:rPr>
        <w:t xml:space="preserve">8.2  All visual aids are toggleable</w:t>
      </w:r>
    </w:p>
    <w:p>
      <w:pPr>
        <w:spacing w:before="80" w:after="60"/>
      </w:pPr>
      <w:r>
        <w:rPr>
          <w:rFonts w:ascii="Arial" w:cs="Arial" w:eastAsia="Arial" w:hAnsi="Arial"/>
          <w:b w:val="false"/>
          <w:bCs w:val="false"/>
          <w:i w:val="false"/>
          <w:iCs w:val="false"/>
          <w:color w:val="0A0E1A"/>
          <w:sz w:val="22"/>
          <w:szCs w:val="22"/>
        </w:rPr>
        <w:t xml:space="preserve">Every visual aid will have an individual ON/OFF toggle in Oracle's settings panel. A master switch labelled Show All Visual Aids can disable all of them simultaneously for traders who prefer a clean chart. Default state is all aids ON.</w:t>
      </w:r>
    </w:p>
    <w:p>
      <w:pPr>
        <w:spacing w:before="60" w:after="0"/>
      </w:pPr>
      <w:r>
        <w:rPr>
          <w:rFonts w:ascii="Arial" w:cs="Arial" w:eastAsia="Arial" w:hAnsi="Arial"/>
          <w:sz w:val="20"/>
          <w:szCs w:val="20"/>
        </w:rPr>
        <w:t xml:space="preserve"/>
      </w:r>
    </w:p>
    <w:p>
      <w:pPr>
        <w:pStyle w:val="Heading2"/>
        <w:spacing w:before="220" w:after="80"/>
      </w:pPr>
      <w:r>
        <w:rPr>
          <w:rFonts w:ascii="Arial" w:cs="Arial" w:eastAsia="Arial" w:hAnsi="Arial"/>
          <w:b/>
          <w:bCs/>
          <w:color w:val="0A0E1A"/>
          <w:sz w:val="26"/>
          <w:szCs w:val="26"/>
        </w:rPr>
        <w:t xml:space="preserve">8.3  Performance considerations</w:t>
      </w:r>
    </w:p>
    <w:p>
      <w:pPr>
        <w:spacing w:before="80" w:after="60"/>
      </w:pPr>
      <w:r>
        <w:rPr>
          <w:rFonts w:ascii="Arial" w:cs="Arial" w:eastAsia="Arial" w:hAnsi="Arial"/>
          <w:b w:val="false"/>
          <w:bCs w:val="false"/>
          <w:i w:val="false"/>
          <w:iCs w:val="false"/>
          <w:color w:val="0A0E1A"/>
          <w:sz w:val="22"/>
          <w:szCs w:val="22"/>
        </w:rPr>
        <w:t xml:space="preserve">Pine Script has limits on the number of lines and labels that can be drawn simultaneously. The trade management lines (2A–2F) are created on entry and deleted on exit — they do not accumulate. The level labels, touch counters and strength scores are updated in place using label.set_text() rather than creating new labels on every bar. The distance panel and bias panel use table.cell() which updates in place. No performance issues are anticipated.</w:t>
      </w:r>
    </w:p>
    <w:p>
      <w:pPr>
        <w:spacing w:before="60" w:after="0"/>
      </w:pPr>
      <w:r>
        <w:rPr>
          <w:rFonts w:ascii="Arial" w:cs="Arial" w:eastAsia="Arial" w:hAnsi="Arial"/>
          <w:sz w:val="20"/>
          <w:szCs w:val="20"/>
        </w:rPr>
        <w:t xml:space="preserve"/>
      </w:r>
    </w:p>
    <w:p>
      <w:pPr>
        <w:pStyle w:val="Heading2"/>
        <w:spacing w:before="220" w:after="80"/>
      </w:pPr>
      <w:r>
        <w:rPr>
          <w:rFonts w:ascii="Arial" w:cs="Arial" w:eastAsia="Arial" w:hAnsi="Arial"/>
          <w:b/>
          <w:bCs/>
          <w:color w:val="0A0E1A"/>
          <w:sz w:val="26"/>
          <w:szCs w:val="26"/>
        </w:rPr>
        <w:t xml:space="preserve">8.4  User Guide update</w:t>
      </w:r>
    </w:p>
    <w:p>
      <w:pPr>
        <w:spacing w:before="80" w:after="60"/>
      </w:pPr>
      <w:r>
        <w:rPr>
          <w:rFonts w:ascii="Arial" w:cs="Arial" w:eastAsia="Arial" w:hAnsi="Arial"/>
          <w:b w:val="false"/>
          <w:bCs w:val="false"/>
          <w:i w:val="false"/>
          <w:iCs w:val="false"/>
          <w:color w:val="0A0E1A"/>
          <w:sz w:val="22"/>
          <w:szCs w:val="22"/>
        </w:rPr>
        <w:t xml:space="preserve">When Oracle v1.7 is released, the User Guide will be updated to v4 or later. The visual aids section will include annotated screenshots of each aid with plain-English explanations suitable for new users. This mockup document forms the basis for that section. All chart mockup images in this document are available as source files for inclusion in the User Guide.</w:t>
      </w:r>
    </w:p>
    <w:p>
      <w:pPr>
        <w:spacing w:before="80" w:after="0"/>
      </w:pPr>
      <w:r>
        <w:rPr>
          <w:rFonts w:ascii="Arial" w:cs="Arial" w:eastAsia="Arial" w:hAnsi="Arial"/>
          <w:sz w:val="20"/>
          <w:szCs w:val="20"/>
        </w:rPr>
        <w:t xml:space="preserve"/>
      </w:r>
    </w:p>
    <w:p>
      <w:r>
        <w:br w:type="page"/>
      </w:r>
    </w:p>
    <w:p>
      <w:pPr>
        <w:pStyle w:val="Heading1"/>
        <w:spacing w:before="320" w:after="100"/>
      </w:pPr>
      <w:r>
        <w:rPr>
          <w:rFonts w:ascii="Arial" w:cs="Arial" w:eastAsia="Arial" w:hAnsi="Arial"/>
          <w:b/>
          <w:bCs/>
          <w:color w:val="C9952A"/>
          <w:sz w:val="32"/>
          <w:szCs w:val="32"/>
        </w:rPr>
        <w:t xml:space="preserve">9  Discussion Questions for Stakeholders</w:t>
      </w:r>
    </w:p>
    <w:p>
      <w:pPr>
        <w:spacing w:before="80" w:after="60"/>
      </w:pPr>
      <w:r>
        <w:rPr>
          <w:rFonts w:ascii="Arial" w:cs="Arial" w:eastAsia="Arial" w:hAnsi="Arial"/>
          <w:b w:val="false"/>
          <w:bCs w:val="false"/>
          <w:i w:val="false"/>
          <w:iCs w:val="false"/>
          <w:color w:val="0A0E1A"/>
          <w:sz w:val="22"/>
          <w:szCs w:val="22"/>
        </w:rPr>
        <w:t xml:space="preserve">The following questions are offered to structure the review conversation. There are no right or wrong answers — the purpose is to ensure the visual aids design reflects how traders actually use the chart.</w:t>
      </w:r>
    </w:p>
    <w:p>
      <w:pPr>
        <w:spacing w:before="80" w:after="0"/>
      </w:pPr>
      <w:r>
        <w:rPr>
          <w:rFonts w:ascii="Arial" w:cs="Arial" w:eastAsia="Arial" w:hAnsi="Arial"/>
          <w:sz w:val="20"/>
          <w:szCs w:val="20"/>
        </w:rPr>
        <w:t xml:space="preserve"/>
      </w:r>
    </w:p>
    <w:p>
      <w:pPr>
        <w:pStyle w:val="Heading3"/>
        <w:spacing w:before="160" w:after="60"/>
      </w:pPr>
      <w:r>
        <w:rPr>
          <w:rFonts w:ascii="Arial" w:cs="Arial" w:eastAsia="Arial" w:hAnsi="Arial"/>
          <w:b/>
          <w:bCs/>
          <w:color w:val="1CB8A0"/>
          <w:sz w:val="22"/>
          <w:szCs w:val="22"/>
        </w:rPr>
        <w:t xml:space="preserve">Signal quality badges (Visual Aid 4A)</w:t>
      </w:r>
    </w:p>
    <w:p>
      <w:pPr>
        <w:pStyle w:val="ListParagraph"/>
        <w:numPr>
          <w:ilvl w:val="0"/>
          <w:numId w:val="2"/>
        </w:numPr>
        <w:spacing w:before="60" w:after="50"/>
      </w:pPr>
      <w:r>
        <w:rPr>
          <w:rFonts w:ascii="Arial" w:cs="Arial" w:eastAsia="Arial" w:hAnsi="Arial"/>
          <w:b w:val="false"/>
          <w:bCs w:val="false"/>
          <w:i w:val="false"/>
          <w:iCs w:val="false"/>
          <w:color w:val="0A0E1A"/>
          <w:sz w:val="22"/>
          <w:szCs w:val="22"/>
        </w:rPr>
        <w:t xml:space="preserve">Does the four-tier badge system (GOLD/TEAL/WHITE/GREY) provide enough differentiation, or would a simpler two-tier (high/standard) be clearer for new users?</w:t>
      </w:r>
    </w:p>
    <w:p>
      <w:pPr>
        <w:pStyle w:val="ListParagraph"/>
        <w:numPr>
          <w:ilvl w:val="0"/>
          <w:numId w:val="2"/>
        </w:numPr>
        <w:spacing w:before="60" w:after="50"/>
      </w:pPr>
      <w:r>
        <w:rPr>
          <w:rFonts w:ascii="Arial" w:cs="Arial" w:eastAsia="Arial" w:hAnsi="Arial"/>
          <w:b w:val="false"/>
          <w:bCs w:val="false"/>
          <w:i w:val="false"/>
          <w:iCs w:val="false"/>
          <w:color w:val="0A0E1A"/>
          <w:sz w:val="22"/>
          <w:szCs w:val="22"/>
        </w:rPr>
        <w:t xml:space="preserve">Should Oracle automatically reduce position size on GREY badges, or should position sizing remain entirely at the trader's discretion?</w:t>
      </w:r>
    </w:p>
    <w:p>
      <w:pPr>
        <w:spacing w:before="40" w:after="0"/>
      </w:pPr>
      <w:r>
        <w:rPr>
          <w:rFonts w:ascii="Arial" w:cs="Arial" w:eastAsia="Arial" w:hAnsi="Arial"/>
          <w:sz w:val="20"/>
          <w:szCs w:val="20"/>
        </w:rPr>
        <w:t xml:space="preserve"/>
      </w:r>
    </w:p>
    <w:p>
      <w:pPr>
        <w:pStyle w:val="Heading3"/>
        <w:spacing w:before="160" w:after="60"/>
      </w:pPr>
      <w:r>
        <w:rPr>
          <w:rFonts w:ascii="Arial" w:cs="Arial" w:eastAsia="Arial" w:hAnsi="Arial"/>
          <w:b/>
          <w:bCs/>
          <w:color w:val="1CB8A0"/>
          <w:sz w:val="22"/>
          <w:szCs w:val="22"/>
        </w:rPr>
        <w:t xml:space="preserve">Session bias label (Visual Aid 1C)</w:t>
      </w:r>
    </w:p>
    <w:p>
      <w:pPr>
        <w:pStyle w:val="ListParagraph"/>
        <w:numPr>
          <w:ilvl w:val="0"/>
          <w:numId w:val="2"/>
        </w:numPr>
        <w:spacing w:before="60" w:after="50"/>
      </w:pPr>
      <w:r>
        <w:rPr>
          <w:rFonts w:ascii="Arial" w:cs="Arial" w:eastAsia="Arial" w:hAnsi="Arial"/>
          <w:b w:val="false"/>
          <w:bCs w:val="false"/>
          <w:i w:val="false"/>
          <w:iCs w:val="false"/>
          <w:color w:val="0A0E1A"/>
          <w:sz w:val="22"/>
          <w:szCs w:val="22"/>
        </w:rPr>
        <w:t xml:space="preserve">The bias label shows SHORTS PREFERRED when both Asian and London sessions are bearish. Does this risk causing traders to ignore valid long signals that Oracle fires legitimately?</w:t>
      </w:r>
    </w:p>
    <w:p>
      <w:pPr>
        <w:pStyle w:val="ListParagraph"/>
        <w:numPr>
          <w:ilvl w:val="0"/>
          <w:numId w:val="2"/>
        </w:numPr>
        <w:spacing w:before="60" w:after="50"/>
      </w:pPr>
      <w:r>
        <w:rPr>
          <w:rFonts w:ascii="Arial" w:cs="Arial" w:eastAsia="Arial" w:hAnsi="Arial"/>
          <w:b w:val="false"/>
          <w:bCs w:val="false"/>
          <w:i w:val="false"/>
          <w:iCs w:val="false"/>
          <w:color w:val="0A0E1A"/>
          <w:sz w:val="22"/>
          <w:szCs w:val="22"/>
        </w:rPr>
        <w:t xml:space="preserve">Should the SHORTS PREFERRED label be shown in red (as a warning) or in a neutral colour (as information)?</w:t>
      </w:r>
    </w:p>
    <w:p>
      <w:pPr>
        <w:spacing w:before="40" w:after="0"/>
      </w:pPr>
      <w:r>
        <w:rPr>
          <w:rFonts w:ascii="Arial" w:cs="Arial" w:eastAsia="Arial" w:hAnsi="Arial"/>
          <w:sz w:val="20"/>
          <w:szCs w:val="20"/>
        </w:rPr>
        <w:t xml:space="preserve"/>
      </w:r>
    </w:p>
    <w:p>
      <w:pPr>
        <w:pStyle w:val="Heading3"/>
        <w:spacing w:before="160" w:after="60"/>
      </w:pPr>
      <w:r>
        <w:rPr>
          <w:rFonts w:ascii="Arial" w:cs="Arial" w:eastAsia="Arial" w:hAnsi="Arial"/>
          <w:b/>
          <w:bCs/>
          <w:color w:val="1CB8A0"/>
          <w:sz w:val="22"/>
          <w:szCs w:val="22"/>
        </w:rPr>
        <w:t xml:space="preserve">Against-trend warning (Visual Aid 4B)</w:t>
      </w:r>
    </w:p>
    <w:p>
      <w:pPr>
        <w:pStyle w:val="ListParagraph"/>
        <w:numPr>
          <w:ilvl w:val="0"/>
          <w:numId w:val="2"/>
        </w:numPr>
        <w:spacing w:before="60" w:after="50"/>
      </w:pPr>
      <w:r>
        <w:rPr>
          <w:rFonts w:ascii="Arial" w:cs="Arial" w:eastAsia="Arial" w:hAnsi="Arial"/>
          <w:b w:val="false"/>
          <w:bCs w:val="false"/>
          <w:i w:val="false"/>
          <w:iCs w:val="false"/>
          <w:color w:val="0A0E1A"/>
          <w:sz w:val="22"/>
          <w:szCs w:val="22"/>
        </w:rPr>
        <w:t xml:space="preserve">The ⚠ COUNTER warning fires on every against-trend signal. During a strong trend this could appear frequently. Should there be a minimum number of consecutive bearish/bullish sessions before the warning activates?</w:t>
      </w:r>
    </w:p>
    <w:p>
      <w:pPr>
        <w:spacing w:before="40" w:after="0"/>
      </w:pPr>
      <w:r>
        <w:rPr>
          <w:rFonts w:ascii="Arial" w:cs="Arial" w:eastAsia="Arial" w:hAnsi="Arial"/>
          <w:sz w:val="20"/>
          <w:szCs w:val="20"/>
        </w:rPr>
        <w:t xml:space="preserve"/>
      </w:r>
    </w:p>
    <w:p>
      <w:pPr>
        <w:pStyle w:val="Heading3"/>
        <w:spacing w:before="160" w:after="60"/>
      </w:pPr>
      <w:r>
        <w:rPr>
          <w:rFonts w:ascii="Arial" w:cs="Arial" w:eastAsia="Arial" w:hAnsi="Arial"/>
          <w:b/>
          <w:bCs/>
          <w:color w:val="1CB8A0"/>
          <w:sz w:val="22"/>
          <w:szCs w:val="22"/>
        </w:rPr>
        <w:t xml:space="preserve">Level strength score (Visual Aid 1A)</w:t>
      </w:r>
    </w:p>
    <w:p>
      <w:pPr>
        <w:pStyle w:val="ListParagraph"/>
        <w:numPr>
          <w:ilvl w:val="0"/>
          <w:numId w:val="2"/>
        </w:numPr>
        <w:spacing w:before="60" w:after="50"/>
      </w:pPr>
      <w:r>
        <w:rPr>
          <w:rFonts w:ascii="Arial" w:cs="Arial" w:eastAsia="Arial" w:hAnsi="Arial"/>
          <w:b w:val="false"/>
          <w:bCs w:val="false"/>
          <w:i w:val="false"/>
          <w:iCs w:val="false"/>
          <w:color w:val="0A0E1A"/>
          <w:sz w:val="22"/>
          <w:szCs w:val="22"/>
        </w:rPr>
        <w:t xml:space="preserve">The five-factor scoring system is proposed (structural level, psych level nearby, prior touches, EMA aligned, session bias confirmed). Are there other factors that should be included or should some be weighted more heavily than others?</w:t>
      </w:r>
    </w:p>
    <w:p>
      <w:pPr>
        <w:pStyle w:val="ListParagraph"/>
        <w:numPr>
          <w:ilvl w:val="0"/>
          <w:numId w:val="2"/>
        </w:numPr>
        <w:spacing w:before="60" w:after="50"/>
      </w:pPr>
      <w:r>
        <w:rPr>
          <w:rFonts w:ascii="Arial" w:cs="Arial" w:eastAsia="Arial" w:hAnsi="Arial"/>
          <w:b w:val="false"/>
          <w:bCs w:val="false"/>
          <w:i w:val="false"/>
          <w:iCs w:val="false"/>
          <w:color w:val="0A0E1A"/>
          <w:sz w:val="22"/>
          <w:szCs w:val="22"/>
        </w:rPr>
        <w:t xml:space="preserve">Should the strength score influence Oracle's entry logic (e.g. block entries below ★★★☆☆) or remain purely informational?</w:t>
      </w:r>
    </w:p>
    <w:p>
      <w:pPr>
        <w:spacing w:before="40" w:after="0"/>
      </w:pPr>
      <w:r>
        <w:rPr>
          <w:rFonts w:ascii="Arial" w:cs="Arial" w:eastAsia="Arial" w:hAnsi="Arial"/>
          <w:sz w:val="20"/>
          <w:szCs w:val="20"/>
        </w:rPr>
        <w:t xml:space="preserve"/>
      </w:r>
    </w:p>
    <w:p>
      <w:pPr>
        <w:pStyle w:val="Heading3"/>
        <w:spacing w:before="160" w:after="60"/>
      </w:pPr>
      <w:r>
        <w:rPr>
          <w:rFonts w:ascii="Arial" w:cs="Arial" w:eastAsia="Arial" w:hAnsi="Arial"/>
          <w:b/>
          <w:bCs/>
          <w:color w:val="1CB8A0"/>
          <w:sz w:val="22"/>
          <w:szCs w:val="22"/>
        </w:rPr>
        <w:t xml:space="preserve">Trade management lines (Visual Aid 2A-2F)</w:t>
      </w:r>
    </w:p>
    <w:p>
      <w:pPr>
        <w:pStyle w:val="ListParagraph"/>
        <w:numPr>
          <w:ilvl w:val="0"/>
          <w:numId w:val="2"/>
        </w:numPr>
        <w:spacing w:before="60" w:after="50"/>
      </w:pPr>
      <w:r>
        <w:rPr>
          <w:rFonts w:ascii="Arial" w:cs="Arial" w:eastAsia="Arial" w:hAnsi="Arial"/>
          <w:b w:val="false"/>
          <w:bCs w:val="false"/>
          <w:i w:val="false"/>
          <w:iCs w:val="false"/>
          <w:color w:val="0A0E1A"/>
          <w:sz w:val="22"/>
          <w:szCs w:val="22"/>
        </w:rPr>
        <w:t xml:space="preserve">Six elements are proposed. Is this too many for a clean chart experience? Which elements are essential and which are optional?</w:t>
      </w:r>
    </w:p>
    <w:p>
      <w:pPr>
        <w:pStyle w:val="ListParagraph"/>
        <w:numPr>
          <w:ilvl w:val="0"/>
          <w:numId w:val="2"/>
        </w:numPr>
        <w:spacing w:before="60" w:after="50"/>
      </w:pPr>
      <w:r>
        <w:rPr>
          <w:rFonts w:ascii="Arial" w:cs="Arial" w:eastAsia="Arial" w:hAnsi="Arial"/>
          <w:b w:val="false"/>
          <w:bCs w:val="false"/>
          <w:i w:val="false"/>
          <w:iCs w:val="false"/>
          <w:color w:val="0A0E1A"/>
          <w:sz w:val="22"/>
          <w:szCs w:val="22"/>
        </w:rPr>
        <w:t xml:space="preserve">The trail zone shading uses a teal fill at 8% opacity. Is this visible enough on a dark chart background without being distracting?</w:t>
      </w:r>
    </w:p>
    <w:p>
      <w:pPr>
        <w:spacing w:before="40" w:after="0"/>
      </w:pPr>
      <w:r>
        <w:rPr>
          <w:rFonts w:ascii="Arial" w:cs="Arial" w:eastAsia="Arial" w:hAnsi="Arial"/>
          <w:sz w:val="20"/>
          <w:szCs w:val="20"/>
        </w:rPr>
        <w:t xml:space="preserve"/>
      </w:r>
    </w:p>
    <w:p>
      <w:pPr>
        <w:pStyle w:val="Heading3"/>
        <w:spacing w:before="160" w:after="60"/>
      </w:pPr>
      <w:r>
        <w:rPr>
          <w:rFonts w:ascii="Arial" w:cs="Arial" w:eastAsia="Arial" w:hAnsi="Arial"/>
          <w:b/>
          <w:bCs/>
          <w:color w:val="1CB8A0"/>
          <w:sz w:val="22"/>
          <w:szCs w:val="22"/>
        </w:rPr>
        <w:t xml:space="preserve">General</w:t>
      </w:r>
    </w:p>
    <w:p>
      <w:pPr>
        <w:pStyle w:val="ListParagraph"/>
        <w:numPr>
          <w:ilvl w:val="0"/>
          <w:numId w:val="2"/>
        </w:numPr>
        <w:spacing w:before="60" w:after="50"/>
      </w:pPr>
      <w:r>
        <w:rPr>
          <w:rFonts w:ascii="Arial" w:cs="Arial" w:eastAsia="Arial" w:hAnsi="Arial"/>
          <w:b w:val="false"/>
          <w:bCs w:val="false"/>
          <w:i w:val="false"/>
          <w:iCs w:val="false"/>
          <w:color w:val="0A0E1A"/>
          <w:sz w:val="22"/>
          <w:szCs w:val="22"/>
        </w:rPr>
        <w:t xml:space="preserve">Are there any additional visual aids not proposed here that you believe would significantly improve the trading experience?</w:t>
      </w:r>
    </w:p>
    <w:p>
      <w:pPr>
        <w:pStyle w:val="ListParagraph"/>
        <w:numPr>
          <w:ilvl w:val="0"/>
          <w:numId w:val="2"/>
        </w:numPr>
        <w:spacing w:before="60" w:after="50"/>
      </w:pPr>
      <w:r>
        <w:rPr>
          <w:rFonts w:ascii="Arial" w:cs="Arial" w:eastAsia="Arial" w:hAnsi="Arial"/>
          <w:b w:val="false"/>
          <w:bCs w:val="false"/>
          <w:i w:val="false"/>
          <w:iCs w:val="false"/>
          <w:color w:val="0A0E1A"/>
          <w:sz w:val="22"/>
          <w:szCs w:val="22"/>
        </w:rPr>
        <w:t xml:space="preserve">Which single visual aid, if implemented immediately in v1.6, would provide the most value to traders right now?</w:t>
      </w:r>
    </w:p>
    <w:p>
      <w:pPr>
        <w:spacing w:before="160" w:after="0"/>
      </w:pPr>
      <w:r>
        <w:rPr>
          <w:rFonts w:ascii="Arial" w:cs="Arial" w:eastAsia="Arial" w:hAnsi="Arial"/>
          <w:sz w:val="20"/>
          <w:szCs w:val="20"/>
        </w:rPr>
        <w:t xml:space="preserve"/>
      </w:r>
    </w:p>
    <w:p>
      <w:pPr>
        <w:pBdr>
          <w:bottom w:val="single" w:color="C9952A" w:sz="4" w:space="1"/>
        </w:pBdr>
        <w:spacing w:before="140" w:after="140"/>
      </w:pPr>
      <w:r>
        <w:rPr>
          <w:rFonts w:ascii="Arial" w:cs="Arial" w:eastAsia="Arial" w:hAnsi="Arial"/>
          <w:sz w:val="4"/>
          <w:szCs w:val="4"/>
        </w:rPr>
        <w:t xml:space="preserve"/>
      </w:r>
    </w:p>
    <w:p>
      <w:pPr>
        <w:spacing w:before="80" w:after="40"/>
      </w:pPr>
      <w:r>
        <w:rPr>
          <w:rFonts w:ascii="Arial" w:cs="Arial" w:eastAsia="Arial" w:hAnsi="Arial"/>
          <w:b w:val="false"/>
          <w:bCs w:val="false"/>
          <w:i w:val="false"/>
          <w:iCs w:val="false"/>
          <w:color w:val="D1D5E0"/>
          <w:sz w:val="18"/>
          <w:szCs w:val="18"/>
        </w:rPr>
        <w:t xml:space="preserve">Oracle v1.7 Visual Aids  ·  First Draft  ·  Discussion Document  ·  April 2026</w:t>
      </w:r>
    </w:p>
    <w:p>
      <w:pPr>
        <w:spacing w:before="40" w:after="40"/>
      </w:pPr>
      <w:r>
        <w:rPr>
          <w:rFonts w:ascii="Arial" w:cs="Arial" w:eastAsia="Arial" w:hAnsi="Arial"/>
          <w:b w:val="false"/>
          <w:bCs w:val="false"/>
          <w:i/>
          <w:iCs/>
          <w:color w:val="D1D5E0"/>
          <w:sz w:val="18"/>
          <w:szCs w:val="18"/>
        </w:rPr>
        <w:t xml:space="preserve">This document is a design proposal only. No code has been written. All chart mockups are illustrative representations of proposed functionality. Final implementation may differ from this draft based on stakeholder feedback and technical constraints.</w:t>
      </w:r>
    </w:p>
    <w:sectPr>
      <w:headerReference w:type="default" r:id="rId6"/>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D1D5E0"/>
        <w:sz w:val="18"/>
        <w:szCs w:val="18"/>
      </w:rPr>
      <w:t xml:space="preserve">Oracle v1.7 Visual Aids  |  First Draft  |  Discussion Document  |  Page </w:t>
    </w:r>
    <w:r>
      <w:rPr>
        <w:rFonts w:ascii="Arial" w:cs="Arial" w:eastAsia="Arial" w:hAnsi="Arial"/>
        <w:color w:val="D1D5E0"/>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5040"/>
      <w:gridCol w:w="5040"/>
    </w:tblGrid>
    <w:tr>
      <w:tc>
        <w:tcPr>
          <w:tcW w:type="dxa" w:w="5040"/>
          <w:tcBorders>
            <w:top w:val="none" w:color="FFFFFF" w:sz="0"/>
            <w:left w:val="none" w:color="FFFFFF" w:sz="0"/>
            <w:bottom w:val="none" w:color="FFFFFF" w:sz="0"/>
            <w:right w:val="none" w:color="FFFFFF" w:sz="0"/>
          </w:tcBorders>
          <w:shd w:fill="0A0E1A" w:val="clear"/>
          <w:tcMar>
            <w:top w:type="dxa" w:w="80"/>
            <w:left w:type="dxa" w:w="180"/>
            <w:bottom w:type="dxa" w:w="80"/>
            <w:right w:type="dxa" w:w="80"/>
          </w:tcMar>
        </w:tcPr>
        <w:p>
          <w:r>
            <w:rPr>
              <w:rFonts w:ascii="Arial" w:cs="Arial" w:eastAsia="Arial" w:hAnsi="Arial"/>
              <w:b/>
              <w:bCs/>
              <w:color w:val="E8B84B"/>
              <w:sz w:val="24"/>
              <w:szCs w:val="24"/>
            </w:rPr>
            <w:t xml:space="preserve">ORACLE  </w:t>
          </w:r>
          <w:r>
            <w:rPr>
              <w:rFonts w:ascii="Arial" w:cs="Arial" w:eastAsia="Arial" w:hAnsi="Arial"/>
              <w:color w:val="1CB8A0"/>
              <w:sz w:val="20"/>
              <w:szCs w:val="20"/>
            </w:rPr>
            <w:t xml:space="preserve">v1.7 Visual Aids — First Draft</w:t>
          </w:r>
        </w:p>
      </w:tc>
      <w:tc>
        <w:tcPr>
          <w:tcW w:type="dxa" w:w="5040"/>
          <w:tcBorders>
            <w:top w:val="none" w:color="FFFFFF" w:sz="0"/>
            <w:left w:val="none" w:color="FFFFFF" w:sz="0"/>
            <w:bottom w:val="none" w:color="FFFFFF" w:sz="0"/>
            <w:right w:val="none" w:color="FFFFFF" w:sz="0"/>
          </w:tcBorders>
          <w:shd w:fill="0A0E1A" w:val="clear"/>
          <w:tcMar>
            <w:top w:type="dxa" w:w="80"/>
            <w:left w:type="dxa" w:w="80"/>
            <w:bottom w:type="dxa" w:w="80"/>
            <w:right w:type="dxa" w:w="180"/>
          </w:tcMar>
        </w:tcPr>
        <w:p>
          <w:pPr>
            <w:jc w:val="right"/>
          </w:pPr>
          <w:r>
            <w:rPr>
              <w:rFonts w:ascii="Arial" w:cs="Arial" w:eastAsia="Arial" w:hAnsi="Arial"/>
              <w:i/>
              <w:iCs/>
              <w:color w:val="C0392B"/>
              <w:sz w:val="16"/>
              <w:szCs w:val="16"/>
            </w:rPr>
            <w:t xml:space="preserve">DISCUSSION DOCUMENT — NOT FOR LIVE USE</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A0E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20" w:after="100"/>
      <w:outlineLvl w:val="0"/>
    </w:pPr>
    <w:rPr>
      <w:rFonts w:ascii="Arial" w:cs="Arial" w:eastAsia="Arial" w:hAnsi="Arial"/>
      <w:b/>
      <w:bCs/>
      <w:color w:val="C9952A"/>
      <w:sz w:val="32"/>
      <w:szCs w:val="32"/>
    </w:rPr>
  </w:style>
  <w:style w:type="paragraph" w:styleId="Heading2">
    <w:name w:val="Heading 2"/>
    <w:basedOn w:val="Normal"/>
    <w:next w:val="Normal"/>
    <w:qFormat/>
    <w:pPr>
      <w:spacing w:before="220" w:after="80"/>
      <w:outlineLvl w:val="1"/>
    </w:pPr>
    <w:rPr>
      <w:rFonts w:ascii="Arial" w:cs="Arial" w:eastAsia="Arial" w:hAnsi="Arial"/>
      <w:b/>
      <w:bCs/>
      <w:color w:val="0A0E1A"/>
      <w:sz w:val="26"/>
      <w:szCs w:val="26"/>
    </w:rPr>
  </w:style>
  <w:style w:type="paragraph" w:styleId="Heading3">
    <w:name w:val="Heading 3"/>
    <w:basedOn w:val="Normal"/>
    <w:next w:val="Normal"/>
    <w:qFormat/>
    <w:pPr>
      <w:spacing w:before="160" w:after="60"/>
      <w:outlineLvl w:val="2"/>
    </w:pPr>
    <w:rPr>
      <w:rFonts w:ascii="Arial" w:cs="Arial" w:eastAsia="Arial" w:hAnsi="Arial"/>
      <w:b/>
      <w:bCs/>
      <w:color w:val="1CB8A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image" Target="media/dc595a46bbb5cfe3d5d6a56552c8d42b9b03014f.png"/><Relationship Id="rId9" Type="http://schemas.openxmlformats.org/officeDocument/2006/relationships/image" Target="media/943065b310133b78a415325aad9ed1b0d7d4b9d1.png"/><Relationship Id="rId10" Type="http://schemas.openxmlformats.org/officeDocument/2006/relationships/image" Target="media/1e58e50dae969a0b55e1b4d5348ce3a436dbc290.png"/><Relationship Id="rId11" Type="http://schemas.openxmlformats.org/officeDocument/2006/relationships/image" Target="media/c692cf4b157b4f770f6a4183c3d6c4bed10496a9.png"/><Relationship Id="rId12" Type="http://schemas.openxmlformats.org/officeDocument/2006/relationships/image" Target="media/7c974d9b17722ed8b4ad5559b4bd58e0658f77bb.png"/><Relationship Id="rId13"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2026-04-02T23:25:26.031Z</dcterms:created>
  <dcterms:modified xsi:type="dcterms:W3CDTF">2026-04-02T23:25:26.032Z</dcterms:modified>
</cp:coreProperties>
</file>

<file path=docProps/custom.xml><?xml version="1.0" encoding="utf-8"?>
<Properties xmlns="http://schemas.openxmlformats.org/officeDocument/2006/custom-properties" xmlns:vt="http://schemas.openxmlformats.org/officeDocument/2006/docPropsVTypes"/>
</file>