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A0E1A" w:val="clear"/>
            <w:tcMar>
              <w:top w:type="dxa" w:w="600"/>
              <w:left w:type="dxa" w:w="400"/>
              <w:bottom w:type="dxa" w:w="600"/>
              <w:right w:type="dxa" w:w="400"/>
            </w:tcMar>
          </w:tcPr>
          <w:p>
            <w:pPr>
              <w:spacing w:before="20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E8B84B"/>
                <w:sz w:val="72"/>
                <w:szCs w:val="72"/>
              </w:rPr>
              <w:t xml:space="preserve">ORACLE</w:t>
            </w:r>
          </w:p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color w:val="1CB8A0"/>
                <w:sz w:val="32"/>
                <w:szCs w:val="32"/>
              </w:rPr>
              <w:t xml:space="preserve">v1.5  —  Strategy Reference Guide</w:t>
            </w:r>
          </w:p>
          <w:p>
            <w:pPr>
              <w:spacing w:before="80" w:after="200"/>
              <w:jc w:val="center"/>
            </w:pPr>
            <w:r>
              <w:rPr>
                <w:rFonts w:ascii="Arial" w:cs="Arial" w:eastAsia="Arial" w:hAnsi="Arial"/>
                <w:i/>
                <w:iCs/>
                <w:color w:val="D1D5E0"/>
                <w:sz w:val="24"/>
                <w:szCs w:val="24"/>
              </w:rPr>
              <w:t xml:space="preserve">See the level before price arrives</w:t>
            </w:r>
          </w:p>
          <w:p>
            <w:pPr>
              <w:spacing w:before="200" w:after="0"/>
              <w:jc w:val="center"/>
            </w:pPr>
            <w:r>
              <w:rPr>
                <w:rFonts w:ascii="Arial" w:cs="Arial" w:eastAsia="Arial" w:hAnsi="Arial"/>
                <w:color w:val="D1D5E0"/>
                <w:sz w:val="20"/>
                <w:szCs w:val="20"/>
              </w:rPr>
              <w:t xml:space="preserve">NQ / MNQ Futures  ·  TradingView Pine Script v5  ·  1-Minute Chart</w:t>
            </w:r>
          </w:p>
        </w:tc>
      </w:tr>
    </w:tbl>
    <w:p>
      <w:pPr>
        <w:spacing w:before="4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8160"/>
      </w:tblGrid>
      <w:tr>
        <w:tc>
          <w:tcPr>
            <w:tcW w:type="dxa" w:w="1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0"/>
                <w:szCs w:val="20"/>
              </w:rPr>
              <w:t xml:space="preserve">⚠  CRITICAL</w:t>
            </w:r>
          </w:p>
        </w:tc>
        <w:tc>
          <w:tcPr>
            <w:tcW w:type="dxa" w:w="8160"/>
            <w:tcBorders>
              <w:top w:val="single" w:color="D1D5E0" w:sz="1"/>
              <w:left w:val="none" w:color="FFFFFF" w:sz="0"/>
              <w:bottom w:val="single" w:color="D1D5E0" w:sz="1"/>
              <w:right w:val="single" w:color="D1D5E0" w:sz="1"/>
            </w:tcBorders>
            <w:shd w:fill="FFF3CD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color w:val="0A0E1A"/>
                <w:sz w:val="20"/>
                <w:szCs w:val="20"/>
              </w:rPr>
              <w:t xml:space="preserve">Backtest Mode MUST be OFF for live trading. Always verify this before each session. Failure to do so may cause execution of historical signals as live orders.</w:t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8160"/>
      </w:tblGrid>
      <w:tr>
        <w:tc>
          <w:tcPr>
            <w:tcW w:type="dxa" w:w="1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📋  VERSION</w:t>
            </w:r>
          </w:p>
        </w:tc>
        <w:tc>
          <w:tcPr>
            <w:tcW w:type="dxa" w:w="8160"/>
            <w:tcBorders>
              <w:top w:val="single" w:color="D1D5E0" w:sz="1"/>
              <w:left w:val="none" w:color="FFFFFF" w:sz="0"/>
              <w:bottom w:val="single" w:color="D1D5E0" w:sz="1"/>
              <w:right w:val="single" w:color="D1D5E0" w:sz="1"/>
            </w:tcBorders>
            <w:shd w:fill="F2F4F8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color w:val="0A0E1A"/>
                <w:sz w:val="20"/>
                <w:szCs w:val="20"/>
              </w:rPr>
              <w:t xml:space="preserve">These settings reflect the Run 4 optimised configuration — the best performing result across 4 backtests. Do not change settings until 4 weeks of live data has been collected from 22 March 2026.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1  Overview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Oracle is a Pine Script v5 strategy for TradingView designed for NQ and MNQ Micro E-Mini Nasdaq-100 futures. It identifies reversal opportunities at key structural price levels using six candlestick signal types, filtering entries by session, direction, volume, and EMA trend.</w:t>
      </w:r>
    </w:p>
    <w:p>
      <w:pPr>
        <w:spacing w:before="6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Three versions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000"/>
        <w:gridCol w:w="5360"/>
      </w:tblGrid>
      <w:tr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File</w:t>
            </w:r>
          </w:p>
        </w:tc>
        <w:tc>
          <w:tcPr>
            <w:tcW w:type="dxa" w:w="53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Oracle Basic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Oracle_Basic_v1.5_Final.pine</w:t>
            </w:r>
          </w:p>
        </w:tc>
        <w:tc>
          <w:tcPr>
            <w:tcW w:type="dxa" w:w="5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Simplified settings. Advanced options hidden and locked. Designed for consistent live trading without configuration risk.</w:t>
            </w:r>
          </w:p>
        </w:tc>
      </w:tr>
      <w:tr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Oracle Pro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Oracle_Pro_v1.5_Final.pine</w:t>
            </w:r>
          </w:p>
        </w:tc>
        <w:tc>
          <w:tcPr>
            <w:tcW w:type="dxa" w:w="5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All settings fully visible and configurable. For experienced users and further backtesting.</w:t>
            </w:r>
          </w:p>
        </w:tc>
      </w:tr>
      <w:tr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Oracle Master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Oracle_Master_v1.5_Final.pine</w:t>
            </w:r>
          </w:p>
        </w:tc>
        <w:tc>
          <w:tcPr>
            <w:tcW w:type="dxa" w:w="5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Development script. Full access to all features. Used as the source for Basic and Pro versions.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2  Backtest Performance — Run 4 (Optimised)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Period: 21 March 2025 — 21 March 2026  ·  Symbol: MNQM2026  ·  Timeframe: 1-minute  ·  Contracts: 3 MNQ</w:t>
      </w:r>
    </w:p>
    <w:p>
      <w:pPr>
        <w:spacing w:before="6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Metric</w:t>
            </w:r>
          </w:p>
        </w:tc>
        <w:tc>
          <w:tcPr>
            <w:tcW w:type="dxa" w:w="234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234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Metric</w:t>
            </w:r>
          </w:p>
        </w:tc>
        <w:tc>
          <w:tcPr>
            <w:tcW w:type="dxa" w:w="234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Total P&amp;L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+$4,825.50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Total Trades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136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Win Rate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66.9%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Profitable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91 / 136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Profit Factor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1.731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Max Drawdown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$831 (0.08%)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Avg Win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+$125.50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Avg Loss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-$146.60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Largest Win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+$358.50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Largest Loss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-$426.00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Long P&amp;L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+$3,198.00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Short P&amp;L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+$1,627.50</w:t>
            </w:r>
          </w:p>
        </w:tc>
      </w:tr>
      <w:tr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Max Win Streak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8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Max Loss Streak</w:t>
            </w:r>
          </w:p>
        </w:tc>
        <w:tc>
          <w:tcPr>
            <w:tcW w:type="dxa" w:w="234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5</w:t>
            </w:r>
          </w:p>
        </w:tc>
      </w:tr>
    </w:tbl>
    <w:p>
      <w:pPr>
        <w:spacing w:before="12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Best and worst periods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1400"/>
        <w:gridCol w:w="1200"/>
        <w:gridCol w:w="3560"/>
      </w:tblGrid>
      <w:tr>
        <w:tc>
          <w:tcPr>
            <w:tcW w:type="dxa" w:w="18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Period</w:t>
            </w:r>
          </w:p>
        </w:tc>
        <w:tc>
          <w:tcPr>
            <w:tcW w:type="dxa" w:w="14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Trades</w:t>
            </w:r>
          </w:p>
        </w:tc>
        <w:tc>
          <w:tcPr>
            <w:tcW w:type="dxa" w:w="14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Win Rate</w:t>
            </w:r>
          </w:p>
        </w:tc>
        <w:tc>
          <w:tcPr>
            <w:tcW w:type="dxa" w:w="1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P&amp;L</w:t>
            </w:r>
          </w:p>
        </w:tc>
        <w:tc>
          <w:tcPr>
            <w:tcW w:type="dxa" w:w="35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Thursday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33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72.7%</w:t>
            </w:r>
          </w:p>
        </w:tc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+$1,920</w:t>
            </w:r>
          </w:p>
        </w:tc>
        <w:tc>
          <w:tcPr>
            <w:tcW w:type="dxa" w:w="35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Consistently best day across all runs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Friday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53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67.9%</w:t>
            </w:r>
          </w:p>
        </w:tc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+$1,587</w:t>
            </w:r>
          </w:p>
        </w:tc>
        <w:tc>
          <w:tcPr>
            <w:tcW w:type="dxa" w:w="35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High volume day — previously disabled, now strong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03:00-05:00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55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67.3%</w:t>
            </w:r>
          </w:p>
        </w:tc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+$1,733</w:t>
            </w:r>
          </w:p>
        </w:tc>
        <w:tc>
          <w:tcPr>
            <w:tcW w:type="dxa" w:w="35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Deep London session — best trading window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09:00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58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65.5%</w:t>
            </w:r>
          </w:p>
        </w:tc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7A68"/>
                <w:sz w:val="20"/>
                <w:szCs w:val="20"/>
              </w:rPr>
              <w:t xml:space="preserve">+$1,475</w:t>
            </w:r>
          </w:p>
        </w:tc>
        <w:tc>
          <w:tcPr>
            <w:tcW w:type="dxa" w:w="35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NY open — high signal quality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Tuesday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0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0392B"/>
                <w:sz w:val="20"/>
                <w:szCs w:val="20"/>
              </w:rPr>
              <w:t xml:space="preserve">—</w:t>
            </w:r>
          </w:p>
        </w:tc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C0392B"/>
                <w:sz w:val="20"/>
                <w:szCs w:val="20"/>
              </w:rPr>
              <w:t xml:space="preserve">—</w:t>
            </w:r>
          </w:p>
        </w:tc>
        <w:tc>
          <w:tcPr>
            <w:tcW w:type="dxa" w:w="35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Disabled — consistently underperformed across all runs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Oct 2025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3</w:t>
            </w:r>
          </w:p>
        </w:tc>
        <w:tc>
          <w:tcPr>
            <w:tcW w:type="dxa" w:w="14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66.7%</w:t>
            </w:r>
          </w:p>
        </w:tc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+$117</w:t>
            </w:r>
          </w:p>
        </w:tc>
        <w:tc>
          <w:tcPr>
            <w:tcW w:type="dxa" w:w="35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Recovered from previously being the worst month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3  Optimum Settings — Run 4 Configuration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These are the exact settings that produced the Run 4 results. Do not change any of these until you have completed 4 weeks of live trading from 22 March 2026.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3.1  Signal Types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Pin Bar Rejection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Strongest reversal signal at key levels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Bearish/Bullish Engulfing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3-Candle Reversal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Liquidity Sweep + Return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Morning/Evening Star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Momentum Candle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Engulfing Type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Strict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Do not change — Basic version locks this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Momentum Multiplier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1.5×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Volume Filter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Min Volume %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100%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100% of 20-bar average — do not raise above 150%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EMA Trend Filter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Critical — blocks counter-trend longs and shorts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EMA Period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50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3.2  Risk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Stop Loss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30 pts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Reduced from 40pts to limit gap risk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Take Profit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20 pts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Raised from 10pts in Run 3 — doubles avg win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Level Touch Zone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8 pts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Stop Loss Type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Fixed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Do not switch to ATR — it caused Run 1 problems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Max Trade Duration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Max Trade Duration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20 mins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Hardcoded in Basic. Configurable in Pro/Master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Min Bars Between Signals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 at 3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Prevents signal clusters at same level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Consecutive Loss Alert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 at 2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Fires alert after 2 consecutive losses</w:t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3.3  Daily P&amp;L Limits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Daily Profit Target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Daily Profit Target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$300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Stop trading when hit — protect the day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Daily Loss Limit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Daily Max Loss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$700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Hard stop for the day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Weekly Profit Target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Weekly Profit Target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$2,000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Close out the week when target is reached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London Session Loss Limit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OFF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Optional — enable if London is consistently losing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NY Session Loss Limit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OFF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Optional — enable if NY afternoons are losing</w:t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3.4  Backtest Range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Enable Backtest Date Range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Start Date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2023-03-12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End Date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2099-12-31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Far future — covers all live trading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Backtest Mode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OFF ⚠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MUST be OFF for live trading — always check this</w:t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3.5  Trading Days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Monday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Tuesday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OFF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Consistently worst day — disabled across all runs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Wednesday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Re-enabled in Run 4 — contributed +$747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Thursday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Best day — 72.7% WR, +$1,920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Friday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Strong day — 67.9% WR, +$1,587</w:t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3.6  Session Times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Chart Timezone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America/New York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Or Exchange — must match your broker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London Session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03:00 – 08:00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New York Session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08:00 – 16:00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Extended to 16:00 in Run 4 — captured 15:00 window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Flat Time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17:00 – 17:59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Close all positions before NY close</w:t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3.7  Blackout Windows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000"/>
        <w:gridCol w:w="4160"/>
      </w:tblGrid>
      <w:tr>
        <w:tc>
          <w:tcPr>
            <w:tcW w:type="dxa" w:w="3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Setting</w:t>
            </w:r>
          </w:p>
        </w:tc>
        <w:tc>
          <w:tcPr>
            <w:tcW w:type="dxa" w:w="2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Value</w:t>
            </w:r>
          </w:p>
        </w:tc>
        <w:tc>
          <w:tcPr>
            <w:tcW w:type="dxa" w:w="41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Blackout 1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  06:00 – 09:00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Eliminates worst pre-market London hours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Blackout 2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ON  10:00 – 15:00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>Eliminates losing NY afternoon hours</w:t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Blackout 3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OFF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Blackout 4</w:t>
            </w:r>
          </w:p>
        </w:tc>
        <w:tc>
          <w:tcPr>
            <w:tcW w:type="dxa" w:w="2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OFF</w:t>
            </w:r>
          </w:p>
        </w:tc>
        <w:tc>
          <w:tcPr>
            <w:tcW w:type="dxa" w:w="41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3A4255"/>
                <w:sz w:val="20"/>
                <w:szCs w:val="20"/>
              </w:rPr>
              <w:t xml:space="preserve"/>
            </w:r>
          </w:p>
        </w:tc>
      </w:tr>
    </w:tbl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4  Daily Live Trading Checklist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Complete this checklist every morning before the London session opens at 03:00.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8760"/>
      </w:tblGrid>
      <w:tr>
        <w:tc>
          <w:tcPr>
            <w:tcW w:type="dxa" w:w="6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✓</w:t>
            </w:r>
          </w:p>
        </w:tc>
        <w:tc>
          <w:tcPr>
            <w:tcW w:type="dxa" w:w="87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Pre-Session Checklist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Backtest Mode is OFF — check this first, every single day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Chart is on the correct symbol (MNQM2026 or current front month)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Chart timeframe is set to 1-minute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Contract quantity is set correctly in TradingView Properties tab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Daily Profit Target and Daily Loss Limit are set to your session amounts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Weekly Profit Target is set correctly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All four blackout windows are configured correctly</w:t>
            </w:r>
          </w:p>
        </w:tc>
      </w:tr>
      <w:tr>
        <w:tc>
          <w:tcPr>
            <w:tcW w:type="dxa" w:w="6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2"/>
                <w:szCs w:val="22"/>
              </w:rPr>
              <w:t xml:space="preserve">☐</w:t>
            </w:r>
          </w:p>
        </w:tc>
        <w:tc>
          <w:tcPr>
            <w:tcW w:type="dxa" w:w="87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Backtest Mode is OFF — check again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5  Dashboard Lock System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The Oracle Performance Dashboard (HTML file) includes a PIN-based lock system to enforce daily loss limits and prevent emotional overtrading.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Heading2"/>
        <w:spacing w:before="240" w:after="80"/>
      </w:pPr>
      <w:r>
        <w:rPr>
          <w:rFonts w:ascii="Arial" w:cs="Arial" w:eastAsia="Arial" w:hAnsi="Arial"/>
          <w:b/>
          <w:bCs/>
          <w:color w:val="0A0E1A"/>
          <w:sz w:val="26"/>
          <w:szCs w:val="26"/>
        </w:rPr>
        <w:t xml:space="preserve">How it works</w:t>
      </w:r>
    </w:p>
    <w:p>
      <w:pPr>
        <w:spacing w:before="80" w:after="60"/>
      </w:pPr>
      <w:r>
        <w:rPr>
          <w:rFonts w:ascii="Arial" w:cs="Arial" w:eastAsia="Arial" w:hAnsi="Arial"/>
          <w:b/>
          <w:bCs/>
          <w:i w:val="false"/>
          <w:iCs w:val="false"/>
          <w:color w:val="0A0E1A"/>
          <w:sz w:val="22"/>
          <w:szCs w:val="22"/>
        </w:rPr>
        <w:t xml:space="preserve">Setting up: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On first use, click the red Lock button in the dashboard header and set a 4–6 digit PIN. The PIN is stored in your browser's local storage.</w:t>
      </w:r>
    </w:p>
    <w:p>
      <w:pPr>
        <w:spacing w:before="4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before="80" w:after="60"/>
      </w:pPr>
      <w:r>
        <w:rPr>
          <w:rFonts w:ascii="Arial" w:cs="Arial" w:eastAsia="Arial" w:hAnsi="Arial"/>
          <w:b/>
          <w:bCs/>
          <w:i w:val="false"/>
          <w:iCs w:val="false"/>
          <w:color w:val="0A0E1A"/>
          <w:sz w:val="22"/>
          <w:szCs w:val="22"/>
        </w:rPr>
        <w:t xml:space="preserve">Triggering the lock: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When Oracle fires the daily limit alert on TradingView, open the dashboard and click the Lock button. The overlay activates immediately with a countdown to midnight.</w:t>
      </w:r>
    </w:p>
    <w:p>
      <w:pPr>
        <w:spacing w:before="4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before="80" w:after="60"/>
      </w:pPr>
      <w:r>
        <w:rPr>
          <w:rFonts w:ascii="Arial" w:cs="Arial" w:eastAsia="Arial" w:hAnsi="Arial"/>
          <w:b/>
          <w:bCs/>
          <w:i w:val="false"/>
          <w:iCs w:val="false"/>
          <w:color w:val="0A0E1A"/>
          <w:sz w:val="22"/>
          <w:szCs w:val="22"/>
        </w:rPr>
        <w:t xml:space="preserve">Auto-unlock: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The lock releases automatically at midnight without any action required. A new trading day begins cleanly.</w:t>
      </w:r>
    </w:p>
    <w:p>
      <w:pPr>
        <w:spacing w:before="4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before="80" w:after="60"/>
      </w:pPr>
      <w:r>
        <w:rPr>
          <w:rFonts w:ascii="Arial" w:cs="Arial" w:eastAsia="Arial" w:hAnsi="Arial"/>
          <w:b/>
          <w:bCs/>
          <w:i w:val="false"/>
          <w:iCs w:val="false"/>
          <w:color w:val="0A0E1A"/>
          <w:sz w:val="22"/>
          <w:szCs w:val="22"/>
        </w:rPr>
        <w:t xml:space="preserve">Override: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If you need to unlock early for a genuine technical reason, enter your PIN. Every override is logged with a timestamp and a warning banner is displayed for the rest of the session.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8160"/>
      </w:tblGrid>
      <w:tr>
        <w:tc>
          <w:tcPr>
            <w:tcW w:type="dxa" w:w="1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0"/>
                <w:szCs w:val="20"/>
              </w:rPr>
              <w:t xml:space="preserve">IMPORTANT</w:t>
            </w:r>
          </w:p>
        </w:tc>
        <w:tc>
          <w:tcPr>
            <w:tcW w:type="dxa" w:w="8160"/>
            <w:tcBorders>
              <w:top w:val="single" w:color="D1D5E0" w:sz="1"/>
              <w:left w:val="none" w:color="FFFFFF" w:sz="0"/>
              <w:bottom w:val="single" w:color="D1D5E0" w:sz="1"/>
              <w:right w:val="single" w:color="D1D5E0" w:sz="1"/>
            </w:tcBorders>
            <w:shd w:fill="F2F4F8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color w:val="0A0E1A"/>
                <w:sz w:val="20"/>
                <w:szCs w:val="20"/>
              </w:rPr>
              <w:t xml:space="preserve">The Oracle strategy already stops firing signals when the daily limit is hit. The dashboard lock adds a visual friction layer. No software can enforce discipline — the system is designed to make it harder to act impulsively, not impossible.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6  Contract Scaling Guide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Start at 3 MNQ contracts and scale only after completing 4 weeks of live data from 22 March 2026 that matches the backtest profile.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3960"/>
      </w:tblGrid>
      <w:tr>
        <w:tc>
          <w:tcPr>
            <w:tcW w:type="dxa" w:w="18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Contracts</w:t>
            </w:r>
          </w:p>
        </w:tc>
        <w:tc>
          <w:tcPr>
            <w:tcW w:type="dxa" w:w="18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$/point</w:t>
            </w:r>
          </w:p>
        </w:tc>
        <w:tc>
          <w:tcPr>
            <w:tcW w:type="dxa" w:w="18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SL Cost</w:t>
            </w:r>
          </w:p>
        </w:tc>
        <w:tc>
          <w:tcPr>
            <w:tcW w:type="dxa" w:w="39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Condition to scale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3 MNQ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$6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-$180</w:t>
            </w:r>
          </w:p>
        </w:tc>
        <w:tc>
          <w:tcPr>
            <w:tcW w:type="dxa" w:w="3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Starting point — complete 4 weeks live data first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4 MNQ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$8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-$240</w:t>
            </w:r>
          </w:p>
        </w:tc>
        <w:tc>
          <w:tcPr>
            <w:tcW w:type="dxa" w:w="3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4 weeks live PF &gt; 1.5, max DD within backtest range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5 MNQ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$10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-$300</w:t>
            </w:r>
          </w:p>
        </w:tc>
        <w:tc>
          <w:tcPr>
            <w:tcW w:type="dxa" w:w="3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8 weeks live, consistent with backtest monthly profile</w:t>
            </w:r>
          </w:p>
        </w:tc>
      </w:tr>
      <w:tr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6 MNQ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$12</w:t>
            </w:r>
          </w:p>
        </w:tc>
        <w:tc>
          <w:tcPr>
            <w:tcW w:type="dxa" w:w="18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-$360</w:t>
            </w:r>
          </w:p>
        </w:tc>
        <w:tc>
          <w:tcPr>
            <w:tcW w:type="dxa" w:w="3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Annual target calculator suggests 6 contracts for $50K/yr target</w:t>
            </w:r>
          </w:p>
        </w:tc>
      </w:tr>
    </w:tbl>
    <w:p>
      <w:pPr>
        <w:spacing w:before="12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8160"/>
      </w:tblGrid>
      <w:tr>
        <w:tc>
          <w:tcPr>
            <w:tcW w:type="dxa" w:w="1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9952A"/>
                <w:sz w:val="20"/>
                <w:szCs w:val="20"/>
              </w:rPr>
              <w:t xml:space="preserve">GAP RISK</w:t>
            </w:r>
          </w:p>
        </w:tc>
        <w:tc>
          <w:tcPr>
            <w:tcW w:type="dxa" w:w="8160"/>
            <w:tcBorders>
              <w:top w:val="single" w:color="D1D5E0" w:sz="1"/>
              <w:left w:val="none" w:color="FFFFFF" w:sz="0"/>
              <w:bottom w:val="single" w:color="D1D5E0" w:sz="1"/>
              <w:right w:val="single" w:color="D1D5E0" w:sz="1"/>
            </w:tcBorders>
            <w:shd w:fill="FFF3CD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color w:val="0A0E1A"/>
                <w:sz w:val="20"/>
                <w:szCs w:val="20"/>
              </w:rPr>
              <w:t xml:space="preserve">One loss per run consistently exceeds the 30pt SL (worst: -70.5pts, -$426 at 3 contracts). This is a price gap event that cannot be eliminated. The $700 daily loss limit is your real protection. Do not scale until gap risk is well understood from live data.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7  Version History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All six versions are saved as individual .pine files for each tier (Basic, Pro, Master) — 18 files total in Oracle_Version_Backups.zip.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200"/>
        <w:gridCol w:w="5960"/>
      </w:tblGrid>
      <w:tr>
        <w:tc>
          <w:tcPr>
            <w:tcW w:type="dxa" w:w="1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Version</w:t>
            </w:r>
          </w:p>
        </w:tc>
        <w:tc>
          <w:tcPr>
            <w:tcW w:type="dxa" w:w="22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Tag</w:t>
            </w:r>
          </w:p>
        </w:tc>
        <w:tc>
          <w:tcPr>
            <w:tcW w:type="dxa" w:w="59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What was added</w:t>
            </w:r>
          </w:p>
        </w:tc>
      </w:tr>
      <w:tr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v1.0</w:t>
            </w:r>
          </w:p>
        </w:tc>
        <w:tc>
          <w:tcPr>
            <w:tcW w:type="dxa" w:w="2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Original</w:t>
            </w:r>
          </w:p>
        </w:tc>
        <w:tc>
          <w:tcPr>
            <w:tcW w:type="dxa" w:w="5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Key levels, 6 signals, fixed/trailing SL, basic dashboard tables, daily P&amp;L limits</w:t>
            </w:r>
          </w:p>
        </w:tc>
      </w:tr>
      <w:tr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v1.1</w:t>
            </w:r>
          </w:p>
        </w:tc>
        <w:tc>
          <w:tcPr>
            <w:tcW w:type="dxa" w:w="2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Risk Additions</w:t>
            </w:r>
          </w:p>
        </w:tc>
        <w:tc>
          <w:tcPr>
            <w:tcW w:type="dxa" w:w="5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ATR Dynamic SL, Breakeven move, Partial close, Re-entry block, Win streak lock-in, Daily trade limit, Consecutive loss alert</w:t>
            </w:r>
          </w:p>
        </w:tc>
      </w:tr>
      <w:tr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v1.2</w:t>
            </w:r>
          </w:p>
        </w:tc>
        <w:tc>
          <w:tcPr>
            <w:tcW w:type="dxa" w:w="2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Signal Improvements</w:t>
            </w:r>
          </w:p>
        </w:tc>
        <w:tc>
          <w:tcPr>
            <w:tcW w:type="dxa" w:w="5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EMA trend filter, Volume filter, Friday Close directional bias, Signal spacing, Session P&amp;L stops</w:t>
            </w:r>
          </w:p>
        </w:tc>
      </w:tr>
      <w:tr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v1.3</w:t>
            </w:r>
          </w:p>
        </w:tc>
        <w:tc>
          <w:tcPr>
            <w:tcW w:type="dxa" w:w="2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P&amp;L Tracking</w:t>
            </w:r>
          </w:p>
        </w:tc>
        <w:tc>
          <w:tcPr>
            <w:tcW w:type="dxa" w:w="5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Monthly P&amp;L tracker, Annual target tracker, Contract calculator, Reload-safe weekly/monthly scan functions</w:t>
            </w:r>
          </w:p>
        </w:tc>
      </w:tr>
      <w:tr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A0E1A"/>
                <w:sz w:val="20"/>
                <w:szCs w:val="20"/>
              </w:rPr>
              <w:t xml:space="preserve">v1.4</w:t>
            </w:r>
          </w:p>
        </w:tc>
        <w:tc>
          <w:tcPr>
            <w:tcW w:type="dxa" w:w="2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Execution</w:t>
            </w:r>
          </w:p>
        </w:tc>
        <w:tc>
          <w:tcPr>
            <w:tcW w:type="dxa" w:w="5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Execution alerts (PineConnector integration), News blackout window, R:R ratio in summary table, Streak tracking</w:t>
            </w:r>
          </w:p>
        </w:tc>
      </w:tr>
      <w:tr>
        <w:tc>
          <w:tcPr>
            <w:tcW w:type="dxa" w:w="1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v1.5</w:t>
            </w:r>
          </w:p>
        </w:tc>
        <w:tc>
          <w:tcPr>
            <w:tcW w:type="dxa" w:w="22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CB8A0"/>
                <w:sz w:val="20"/>
                <w:szCs w:val="20"/>
              </w:rPr>
              <w:t xml:space="preserve">Final</w:t>
            </w:r>
          </w:p>
        </w:tc>
        <w:tc>
          <w:tcPr>
            <w:tcW w:type="dxa" w:w="59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Tick-level SL execution (close_entries_rule + calc_on_every_tick), isToday timezone fix, Session P&amp;L attribution fix, Consecutive loss streak fix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r>
        <w:br w:type="page"/>
      </w:r>
    </w:p>
    <w:p>
      <w:pPr>
        <w:pStyle w:val="Heading1"/>
        <w:spacing w:before="360" w:after="120"/>
      </w:pPr>
      <w:r>
        <w:rPr>
          <w:rFonts w:ascii="Arial" w:cs="Arial" w:eastAsia="Arial" w:hAnsi="Arial"/>
          <w:b/>
          <w:bCs/>
          <w:color w:val="C9952A"/>
          <w:sz w:val="32"/>
          <w:szCs w:val="32"/>
        </w:rPr>
        <w:t xml:space="preserve">8  Key Bugs Fixed in v1.5</w:t>
      </w:r>
    </w:p>
    <w:p>
      <w:pPr>
        <w:spacing w:before="12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A0E1A"/>
          <w:sz w:val="22"/>
          <w:szCs w:val="22"/>
        </w:rPr>
        <w:t xml:space="preserve">These are the critical issues that were identified and resolved during development. Documented here so future Pine Script edits avoid reintroducing them.</w:t>
      </w:r>
    </w:p>
    <w:p>
      <w:pPr>
        <w:spacing w:before="8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Issue</w:t>
            </w:r>
          </w:p>
        </w:tc>
        <w:tc>
          <w:tcPr>
            <w:tcW w:type="dxa" w:w="6360"/>
            <w:tcBorders>
              <w:top w:val="single" w:color="C9952A" w:sz="1"/>
              <w:left w:val="single" w:color="C9952A" w:sz="1"/>
              <w:bottom w:val="single" w:color="C9952A" w:sz="1"/>
              <w:right w:val="single" w:color="C9952A" w:sz="1"/>
            </w:tcBorders>
            <w:shd w:fill="0A0E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8B84B"/>
                <w:sz w:val="20"/>
                <w:szCs w:val="20"/>
              </w:rPr>
              <w:t xml:space="preserve">Fix Applied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isToday using wrong timezone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todayYear/Month/Day now use sessionTZ consistently. Previously used syminfo.timezone (CME Chicago time) causing London session trades (03:00-08:00 local) to appear as yesterday — blocking all signals.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Session P&amp;L attribution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London and NY P&amp;L tracked incrementally on each bar using exit_time comparison rather than calcPnLfrom() baseline. Old approach showed identical figures for both sessions.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Weekly reload wipe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Weekly/monthly/annual P&amp;L now derived by scanning strategy.closedtrades.exit_time() on every bar. Old baseline snapshot was lost on chart reload.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SL not closing at 40pts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Added close_entries_rule='ANY' and calc_on_every_tick=true to strategy declaration. Losses now close at the SL level intra-bar rather than waiting for bar close.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Session open detection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londonJustOpened and nyJustOpened changed from == to &gt;= comparison. Exact minute match missed sessions when no bar landed at exactly 03:00 on a 1-min chart.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Friday Close wrong direction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touchingLongLevel() and touchingShortLevel() added. Friday Close now only qualifies as support for longs (price approaching from below) and resistance for shorts (from above).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time('Y') invalid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Annual reset uses time('12M') instead of time('Y') which is not valid Pine Script syntax.</w:t>
            </w:r>
          </w:p>
        </w:tc>
      </w:tr>
      <w:tr>
        <w:tc>
          <w:tcPr>
            <w:tcW w:type="dxa" w:w="300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Trailing SL line continuation</w:t>
            </w:r>
          </w:p>
        </w:tc>
        <w:tc>
          <w:tcPr>
            <w:tcW w:type="dxa" w:w="6360"/>
            <w:tcBorders>
              <w:top w:val="single" w:color="D1D5E0" w:sz="1"/>
              <w:left w:val="single" w:color="D1D5E0" w:sz="1"/>
              <w:bottom w:val="single" w:color="D1D5E0" w:sz="1"/>
              <w:right w:val="single" w:color="D1D5E0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A0E1A"/>
                <w:sz w:val="20"/>
                <w:szCs w:val="20"/>
              </w:rPr>
              <w:t xml:space="preserve">Trailing + at end of long lines causes 'end of line without continuation' errors. Split into intermediate variables.</w:t>
            </w:r>
          </w:p>
        </w:tc>
      </w:tr>
    </w:tbl>
    <w:p>
      <w:pPr>
        <w:spacing w:before="200" w:after="0"/>
      </w:pP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Bdr>
          <w:bottom w:val="single" w:color="C9952A" w:sz="4" w:space="1"/>
        </w:pBdr>
        <w:spacing w:before="160" w:after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pPr>
        <w:spacing w:before="8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D1D5E0"/>
          <w:sz w:val="18"/>
          <w:szCs w:val="18"/>
        </w:rPr>
        <w:t xml:space="preserve">Oracle v1.5  ·  Developed March 2026  ·  NQ/MNQ Futures  ·  TradingView Pine Script v5</w:t>
      </w:r>
    </w:p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/>
          <w:iCs/>
          <w:color w:val="D1D5E0"/>
          <w:sz w:val="18"/>
          <w:szCs w:val="18"/>
        </w:rPr>
        <w:t xml:space="preserve">This document is for personal reference only. Trading futures involves significant risk. Past backtest performance does not guarantee future results.</w:t>
      </w:r>
    </w:p>
    <w:sectPr>
      <w:headerReference w:type="default" r:id="rId6"/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D1D5E0"/>
        <w:sz w:val="18"/>
        <w:szCs w:val="18"/>
      </w:rPr>
      <w:t xml:space="preserve">Oracle v1.5  |  NQ / MNQ Futures  |  TradingView  |  Page </w:t>
    </w:r>
    <w:r>
      <w:rPr>
        <w:rFonts w:ascii="Arial" w:cs="Arial" w:eastAsia="Arial" w:hAnsi="Arial"/>
        <w:color w:val="D1D5E0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5040"/>
      <w:gridCol w:w="5040"/>
    </w:tblGrid>
    <w:tr>
      <w:tc>
        <w:tcPr>
          <w:tcW w:type="dxa" w:w="50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0A0E1A" w:val="clear"/>
          <w:tcMar>
            <w:top w:type="dxa" w:w="80"/>
            <w:left w:type="dxa" w:w="180"/>
            <w:bottom w:type="dxa" w:w="80"/>
            <w:right w:type="dxa" w:w="80"/>
          </w:tcMar>
        </w:tcPr>
        <w:p>
          <w:r>
            <w:rPr>
              <w:rFonts w:ascii="Arial" w:cs="Arial" w:eastAsia="Arial" w:hAnsi="Arial"/>
              <w:b/>
              <w:bCs/>
              <w:color w:val="E8B84B"/>
              <w:sz w:val="24"/>
              <w:szCs w:val="24"/>
            </w:rPr>
            <w:t xml:space="preserve">ORACLE  </w:t>
          </w:r>
          <w:r>
            <w:rPr>
              <w:rFonts w:ascii="Arial" w:cs="Arial" w:eastAsia="Arial" w:hAnsi="Arial"/>
              <w:color w:val="1CB8A0"/>
              <w:sz w:val="20"/>
              <w:szCs w:val="20"/>
            </w:rPr>
            <w:t xml:space="preserve">v1.5 — Strategy Reference</w:t>
          </w:r>
        </w:p>
      </w:tc>
      <w:tc>
        <w:tcPr>
          <w:tcW w:type="dxa" w:w="50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0A0E1A" w:val="clear"/>
          <w:tcMar>
            <w:top w:type="dxa" w:w="80"/>
            <w:left w:type="dxa" w:w="80"/>
            <w:bottom w:type="dxa" w:w="80"/>
            <w:right w:type="dxa" w:w="18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D1D5E0"/>
              <w:sz w:val="18"/>
              <w:szCs w:val="18"/>
            </w:rPr>
            <w:t xml:space="preserve">See the level before price arrives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A0E1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20"/>
      <w:outlineLvl w:val="0"/>
    </w:pPr>
    <w:rPr>
      <w:rFonts w:ascii="Arial" w:cs="Arial" w:eastAsia="Arial" w:hAnsi="Arial"/>
      <w:b/>
      <w:bCs/>
      <w:color w:val="C9952A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40" w:after="80"/>
      <w:outlineLvl w:val="1"/>
    </w:pPr>
    <w:rPr>
      <w:rFonts w:ascii="Arial" w:cs="Arial" w:eastAsia="Arial" w:hAnsi="Arial"/>
      <w:b/>
      <w:bCs/>
      <w:color w:val="0A0E1A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2026-03-22T12:06:05.176Z</dcterms:created>
  <dcterms:modified xsi:type="dcterms:W3CDTF">2026-03-22T12:06:05.177Z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