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0"/>
      </w:pPr>
      <w:r>
        <w:t xml:space="preserve"/>
      </w:r>
    </w:p>
    <w:p>
      <w:pPr>
        <w:shd w:fill="0A0E1A" w:val="clear"/>
        <w:spacing w:before="0" w:after="0"/>
        <w:jc w:val="center"/>
      </w:pPr>
      <w:r>
        <w:rPr>
          <w:rFonts w:ascii="Arial" w:cs="Arial" w:eastAsia="Arial" w:hAnsi="Arial"/>
          <w:b/>
          <w:bCs/>
          <w:color w:val="F0C060"/>
          <w:sz w:val="120"/>
          <w:szCs w:val="120"/>
        </w:rPr>
        <w:t xml:space="preserve">ORACLE</w:t>
      </w:r>
    </w:p>
    <w:p>
      <w:pPr>
        <w:pBdr>
          <w:bottom w:val="single" w:color="C9952A" w:sz="8" w:space="0"/>
        </w:pBdr>
        <w:shd w:fill="0A0E1A" w:val="clear"/>
        <w:spacing w:before="0" w:after="0"/>
        <w:jc w:val="center"/>
      </w:pPr>
      <w:r>
        <w:t xml:space="preserve"/>
      </w:r>
    </w:p>
    <w:p>
      <w:pPr>
        <w:shd w:fill="0A0E1A" w:val="clear"/>
        <w:spacing w:before="60" w:after="0"/>
        <w:jc w:val="center"/>
      </w:pPr>
      <w:r>
        <w:rPr>
          <w:rFonts w:ascii="Arial" w:cs="Arial" w:eastAsia="Arial" w:hAnsi="Arial"/>
          <w:b/>
          <w:bCs/>
          <w:color w:val="4DD9C5"/>
          <w:sz w:val="28"/>
          <w:szCs w:val="28"/>
        </w:rPr>
        <w:t xml:space="preserve">SEE THE LEVEL BEFORE PRICE ARRIVES</w:t>
      </w:r>
    </w:p>
    <w:p>
      <w:pPr>
        <w:shd w:fill="0A0E1A" w:val="clear"/>
        <w:spacing w:before="40" w:after="200"/>
        <w:jc w:val="center"/>
      </w:pPr>
      <w:r>
        <w:rPr>
          <w:rFonts w:ascii="Arial" w:cs="Arial" w:eastAsia="Arial" w:hAnsi="Arial"/>
          <w:i/>
          <w:iCs/>
          <w:color w:val="C8CBD4"/>
          <w:sz w:val="22"/>
          <w:szCs w:val="22"/>
        </w:rPr>
        <w:t xml:space="preserve">Precision institutional-level trading for NQ / MNQ futures</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340"/>
        <w:gridCol w:w="2340"/>
        <w:gridCol w:w="2340"/>
        <w:gridCol w:w="2340"/>
      </w:tblGrid>
      <w:tr>
        <w:tc>
          <w:tcPr>
            <w:tcW w:type="dxa" w:w="2340"/>
            <w:tcBorders>
              <w:top w:val="single" w:color="C9952A" w:sz="2"/>
              <w:left w:val="single" w:color="C9952A" w:sz="2"/>
              <w:bottom w:val="single" w:color="C9952A" w:sz="2"/>
              <w:right w:val="single" w:color="C9952A" w:sz="2"/>
            </w:tcBorders>
            <w:shd w:fill="0F1B35" w:val="clear"/>
            <w:tcMar>
              <w:top w:type="dxa" w:w="200"/>
              <w:left w:type="dxa" w:w="160"/>
              <w:bottom w:type="dxa" w:w="200"/>
              <w:right w:type="dxa" w:w="160"/>
            </w:tcMar>
          </w:tcPr>
          <w:p>
            <w:pPr>
              <w:jc w:val="center"/>
            </w:pPr>
            <w:r>
              <w:rPr>
                <w:rFonts w:ascii="Arial" w:cs="Arial" w:eastAsia="Arial" w:hAnsi="Arial"/>
                <w:b/>
                <w:bCs/>
                <w:color w:val="4DD9C5"/>
                <w:sz w:val="48"/>
                <w:szCs w:val="48"/>
              </w:rPr>
              <w:t xml:space="preserve">+$18,462</w:t>
            </w:r>
          </w:p>
          <w:p>
            <w:pPr>
              <w:jc w:val="center"/>
            </w:pPr>
            <w:r>
              <w:rPr>
                <w:rFonts w:ascii="Arial" w:cs="Arial" w:eastAsia="Arial" w:hAnsi="Arial"/>
                <w:color w:val="C8CBD4"/>
                <w:sz w:val="18"/>
                <w:szCs w:val="18"/>
              </w:rPr>
              <w:t xml:space="preserve">12-month P&amp;L</w:t>
            </w:r>
          </w:p>
        </w:tc>
        <w:tc>
          <w:tcPr>
            <w:tcW w:type="dxa" w:w="2340"/>
            <w:tcBorders>
              <w:top w:val="single" w:color="C9952A" w:sz="2"/>
              <w:left w:val="single" w:color="C9952A" w:sz="2"/>
              <w:bottom w:val="single" w:color="C9952A" w:sz="2"/>
              <w:right w:val="single" w:color="C9952A" w:sz="2"/>
            </w:tcBorders>
            <w:shd w:fill="0F1B35" w:val="clear"/>
            <w:tcMar>
              <w:top w:type="dxa" w:w="200"/>
              <w:left w:type="dxa" w:w="160"/>
              <w:bottom w:type="dxa" w:w="200"/>
              <w:right w:type="dxa" w:w="160"/>
            </w:tcMar>
          </w:tcPr>
          <w:p>
            <w:pPr>
              <w:jc w:val="center"/>
            </w:pPr>
            <w:r>
              <w:rPr>
                <w:rFonts w:ascii="Arial" w:cs="Arial" w:eastAsia="Arial" w:hAnsi="Arial"/>
                <w:b/>
                <w:bCs/>
                <w:color w:val="F0C060"/>
                <w:sz w:val="48"/>
                <w:szCs w:val="48"/>
              </w:rPr>
              <w:t xml:space="preserve">81.1%</w:t>
            </w:r>
          </w:p>
          <w:p>
            <w:pPr>
              <w:jc w:val="center"/>
            </w:pPr>
            <w:r>
              <w:rPr>
                <w:rFonts w:ascii="Arial" w:cs="Arial" w:eastAsia="Arial" w:hAnsi="Arial"/>
                <w:color w:val="C8CBD4"/>
                <w:sz w:val="18"/>
                <w:szCs w:val="18"/>
              </w:rPr>
              <w:t xml:space="preserve">Win rate</w:t>
            </w:r>
          </w:p>
        </w:tc>
        <w:tc>
          <w:tcPr>
            <w:tcW w:type="dxa" w:w="2340"/>
            <w:tcBorders>
              <w:top w:val="single" w:color="C9952A" w:sz="2"/>
              <w:left w:val="single" w:color="C9952A" w:sz="2"/>
              <w:bottom w:val="single" w:color="C9952A" w:sz="2"/>
              <w:right w:val="single" w:color="C9952A" w:sz="2"/>
            </w:tcBorders>
            <w:shd w:fill="0F1B35" w:val="clear"/>
            <w:tcMar>
              <w:top w:type="dxa" w:w="200"/>
              <w:left w:type="dxa" w:w="160"/>
              <w:bottom w:type="dxa" w:w="200"/>
              <w:right w:type="dxa" w:w="160"/>
            </w:tcMar>
          </w:tcPr>
          <w:p>
            <w:pPr>
              <w:jc w:val="center"/>
            </w:pPr>
            <w:r>
              <w:rPr>
                <w:rFonts w:ascii="Arial" w:cs="Arial" w:eastAsia="Arial" w:hAnsi="Arial"/>
                <w:b/>
                <w:bCs/>
                <w:color w:val="C8CBD4"/>
                <w:sz w:val="48"/>
                <w:szCs w:val="48"/>
              </w:rPr>
              <w:t xml:space="preserve">1,273</w:t>
            </w:r>
          </w:p>
          <w:p>
            <w:pPr>
              <w:jc w:val="center"/>
            </w:pPr>
            <w:r>
              <w:rPr>
                <w:rFonts w:ascii="Arial" w:cs="Arial" w:eastAsia="Arial" w:hAnsi="Arial"/>
                <w:color w:val="C8CBD4"/>
                <w:sz w:val="18"/>
                <w:szCs w:val="18"/>
              </w:rPr>
              <w:t xml:space="preserve">Trades taken</w:t>
            </w:r>
          </w:p>
        </w:tc>
        <w:tc>
          <w:tcPr>
            <w:tcW w:type="dxa" w:w="2340"/>
            <w:tcBorders>
              <w:top w:val="single" w:color="C9952A" w:sz="2"/>
              <w:left w:val="single" w:color="C9952A" w:sz="2"/>
              <w:bottom w:val="single" w:color="C9952A" w:sz="2"/>
              <w:right w:val="single" w:color="C9952A" w:sz="2"/>
            </w:tcBorders>
            <w:shd w:fill="0F1B35" w:val="clear"/>
            <w:tcMar>
              <w:top w:type="dxa" w:w="200"/>
              <w:left w:type="dxa" w:w="160"/>
              <w:bottom w:type="dxa" w:w="200"/>
              <w:right w:type="dxa" w:w="160"/>
            </w:tcMar>
          </w:tcPr>
          <w:p>
            <w:pPr>
              <w:jc w:val="center"/>
            </w:pPr>
            <w:r>
              <w:rPr>
                <w:rFonts w:ascii="Arial" w:cs="Arial" w:eastAsia="Arial" w:hAnsi="Arial"/>
                <w:b/>
                <w:bCs/>
                <w:color w:val="4DD9C5"/>
                <w:sz w:val="48"/>
                <w:szCs w:val="48"/>
              </w:rPr>
              <w:t xml:space="preserve">0.81%</w:t>
            </w:r>
          </w:p>
          <w:p>
            <w:pPr>
              <w:jc w:val="center"/>
            </w:pPr>
            <w:r>
              <w:rPr>
                <w:rFonts w:ascii="Arial" w:cs="Arial" w:eastAsia="Arial" w:hAnsi="Arial"/>
                <w:color w:val="C8CBD4"/>
                <w:sz w:val="18"/>
                <w:szCs w:val="18"/>
              </w:rPr>
              <w:t xml:space="preserve">Max drawdown</w:t>
            </w:r>
          </w:p>
        </w:tc>
      </w:tr>
    </w:tbl>
    <w:p>
      <w:pPr>
        <w:spacing w:after="200"/>
      </w:pPr>
      <w:r>
        <w:t xml:space="preserve"/>
      </w:r>
    </w:p>
    <w:p>
      <w:pPr>
        <w:pBdr>
          <w:bottom w:val="single" w:color="C9952A" w:sz="6" w:space="1"/>
        </w:pBdr>
        <w:spacing w:before="0" w:after="0"/>
      </w:pPr>
      <w:r>
        <w:t xml:space="preserve"/>
      </w:r>
    </w:p>
    <w:p>
      <w:pPr>
        <w:spacing w:after="120"/>
      </w:pPr>
      <w:r>
        <w:t xml:space="preserve"/>
      </w:r>
    </w:p>
    <w:p>
      <w:pPr>
        <w:spacing w:before="60" w:after="60"/>
        <w:jc w:val="center"/>
      </w:pPr>
      <w:r>
        <w:rPr>
          <w:rFonts w:ascii="Arial" w:cs="Arial" w:eastAsia="Arial" w:hAnsi="Arial"/>
          <w:b w:val="false"/>
          <w:bCs w:val="false"/>
          <w:i/>
          <w:iCs/>
          <w:color w:val="C8CBD4"/>
          <w:sz w:val="20"/>
          <w:szCs w:val="20"/>
        </w:rPr>
        <w:t xml:space="preserve">TradingView Pine Script v5  |  CME Micro E-mini Nasdaq (MNQ1!)  |  5-Minute Chart</w:t>
      </w:r>
    </w:p>
    <w:p>
      <w:pPr>
        <w:spacing w:before="60" w:after="60"/>
        <w:jc w:val="center"/>
      </w:pPr>
      <w:r>
        <w:rPr>
          <w:rFonts w:ascii="Arial" w:cs="Arial" w:eastAsia="Arial" w:hAnsi="Arial"/>
          <w:b w:val="false"/>
          <w:bCs w:val="false"/>
          <w:i w:val="false"/>
          <w:iCs w:val="false"/>
          <w:color w:val="C8CBD4"/>
          <w:sz w:val="20"/>
          <w:szCs w:val="20"/>
        </w:rPr>
        <w:t xml:space="preserve">Backtested: March 2025 – March 2026</w:t>
      </w:r>
    </w:p>
    <w:p>
      <w:pPr>
        <w:spacing w:after="400"/>
      </w:pPr>
      <w:r>
        <w:t xml:space="preserve"/>
      </w:r>
    </w:p>
    <w:p>
      <w:r>
        <w:br w:type="page"/>
      </w:r>
    </w:p>
    <w:p>
      <w:pPr>
        <w:spacing w:after="80"/>
      </w:pPr>
      <w:r>
        <w:t xml:space="preserve"/>
      </w:r>
    </w:p>
    <w:p>
      <w:pPr>
        <w:jc w:val="center"/>
      </w:pPr>
      <w:r>
        <w:rPr>
          <w:rFonts w:ascii="Arial" w:cs="Arial" w:eastAsia="Arial" w:hAnsi="Arial"/>
          <w:b/>
          <w:bCs/>
          <w:color w:val="0F1B35"/>
          <w:sz w:val="40"/>
          <w:szCs w:val="40"/>
        </w:rPr>
        <w:t xml:space="preserve">WHAT IS ORACLE?</w:t>
      </w:r>
    </w:p>
    <w:p>
      <w:pPr>
        <w:pBdr>
          <w:bottom w:val="single" w:color="1CB8A0" w:sz="3" w:space="1"/>
        </w:pBdr>
        <w:spacing w:before="0" w:after="0"/>
      </w:pPr>
      <w:r>
        <w:t xml:space="preserve"/>
      </w:r>
    </w:p>
    <w:p>
      <w:pPr>
        <w:spacing w:after="120"/>
      </w:pPr>
      <w:r>
        <w:t xml:space="preserve"/>
      </w:r>
    </w:p>
    <w:p>
      <w:pPr>
        <w:spacing w:before="80" w:after="100"/>
      </w:pPr>
      <w:r>
        <w:rPr>
          <w:rFonts w:ascii="Arial" w:cs="Arial" w:eastAsia="Arial" w:hAnsi="Arial"/>
          <w:color w:val="3A3D45"/>
          <w:sz w:val="22"/>
          <w:szCs w:val="22"/>
        </w:rPr>
        <w:t xml:space="preserve">Oracle is a fully automated trading strategy that identifies and trades price reversals at structurally significant levels — Previous Day High/Low, Weekly High/Low, Monthly High/Low, and the Previous Friday Close. These are the price points where institutional algorithms are programmed to act, creating repeatable, predictable behaviour that Oracle is built to capture.</w:t>
      </w:r>
    </w:p>
    <w:p>
      <w:pPr>
        <w:spacing w:after="60"/>
      </w:pPr>
      <w:r>
        <w:t xml:space="preserve"/>
      </w:r>
    </w:p>
    <w:p>
      <w:pPr>
        <w:spacing w:before="80" w:after="100"/>
      </w:pPr>
      <w:r>
        <w:rPr>
          <w:rFonts w:ascii="Arial" w:cs="Arial" w:eastAsia="Arial" w:hAnsi="Arial"/>
          <w:color w:val="3A3D45"/>
          <w:sz w:val="22"/>
          <w:szCs w:val="22"/>
        </w:rPr>
        <w:t xml:space="preserve">Unlike strategies that rely on lagging indicators, Oracle knows where the important prices are before they are reached. It waits at these levels and enters only when price confirms a rejection with one of six candlestick patterns — ensuring every trade has both structural and candlestick confirmation before a single contract is risked.</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left w:val="single" w:color="C9952A" w:sz="8"/>
              <w:bottom w:val="none"/>
              <w:right w:val="none"/>
            </w:tcBorders>
            <w:shd w:fill="EAF0F8" w:val="clear"/>
            <w:tcMar>
              <w:top w:type="dxa" w:w="120"/>
              <w:left w:type="dxa" w:w="200"/>
              <w:bottom w:type="dxa" w:w="120"/>
              <w:right w:type="dxa" w:w="160"/>
            </w:tcMar>
          </w:tcPr>
          <w:p>
            <w:pPr>
              <w:spacing w:after="60"/>
            </w:pPr>
            <w:r>
              <w:rPr>
                <w:rFonts w:ascii="Arial" w:cs="Arial" w:eastAsia="Arial" w:hAnsi="Arial"/>
                <w:b/>
                <w:bCs/>
                <w:color w:val="0F1B35"/>
                <w:sz w:val="22"/>
                <w:szCs w:val="22"/>
              </w:rPr>
              <w:t xml:space="preserve">The Oracle Edge</w:t>
            </w:r>
          </w:p>
          <w:p>
            <w:pPr>
              <w:spacing w:after="0"/>
            </w:pPr>
            <w:r>
              <w:rPr>
                <w:rFonts w:ascii="Arial" w:cs="Arial" w:eastAsia="Arial" w:hAnsi="Arial"/>
                <w:color w:val="3A3D45"/>
                <w:sz w:val="21"/>
                <w:szCs w:val="21"/>
              </w:rPr>
              <w:t xml:space="preserve">Oracle does not chase price. It positions itself ahead of institutional order flow at levels that have produced major price reactions in the past — and waits for price to come to it. This patience, combined with six distinct entry patterns and a comprehensive risk management suite, produces a strategy with a natural exit win rate of 100% and an average losing trade 60% smaller than conventional fixed stop-loss approaches.</w:t>
            </w:r>
          </w:p>
        </w:tc>
      </w:tr>
    </w:tbl>
    <w:p>
      <w:pPr>
        <w:spacing w:after="160"/>
      </w:pPr>
      <w:r>
        <w:t xml:space="preserve"/>
      </w:r>
    </w:p>
    <w:p>
      <w:pPr>
        <w:pBdr>
          <w:bottom w:val="single" w:color="1CB8A0" w:sz="3" w:space="1"/>
        </w:pBdr>
        <w:spacing w:before="0" w:after="0"/>
      </w:pPr>
      <w:r>
        <w:t xml:space="preserve"/>
      </w:r>
    </w:p>
    <w:p>
      <w:pPr>
        <w:spacing w:after="120"/>
      </w:pPr>
      <w:r>
        <w:t xml:space="preserve"/>
      </w:r>
    </w:p>
    <w:p>
      <w:pPr>
        <w:spacing w:before="0" w:after="120"/>
      </w:pPr>
      <w:r>
        <w:rPr>
          <w:rFonts w:ascii="Arial" w:cs="Arial" w:eastAsia="Arial" w:hAnsi="Arial"/>
          <w:b/>
          <w:bCs/>
          <w:color w:val="0F1B35"/>
          <w:sz w:val="30"/>
          <w:szCs w:val="30"/>
        </w:rPr>
        <w:t xml:space="preserve">SIX ENTRY SIGNALS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560"/>
        <w:gridCol w:w="4560"/>
      </w:tblGrid>
      <w:tr>
        <w:tc>
          <w:tcPr>
            <w:tcW w:type="dxa" w:w="4560"/>
            <w:tcBorders>
              <w:top w:val="none"/>
              <w:left w:val="single" w:color="1CB8A0" w:sz="6"/>
              <w:bottom w:val="none"/>
              <w:right w:val="none"/>
            </w:tcBorders>
            <w:shd w:fill="F4F6FA" w:val="clear"/>
            <w:tcMar>
              <w:top w:type="dxa" w:w="120"/>
              <w:left w:type="dxa" w:w="160"/>
              <w:bottom w:type="dxa" w:w="120"/>
              <w:right w:type="dxa" w:w="100"/>
            </w:tcMar>
          </w:tcPr>
          <w:p>
            <w:pPr>
              <w:spacing w:after="40"/>
            </w:pPr>
            <w:r>
              <w:rPr>
                <w:rFonts w:ascii="Arial" w:cs="Arial" w:eastAsia="Arial" w:hAnsi="Arial"/>
                <w:b/>
                <w:bCs/>
                <w:color w:val="162040"/>
                <w:sz w:val="21"/>
                <w:szCs w:val="21"/>
              </w:rPr>
              <w:t xml:space="preserve">Pin Bar Rejection</w:t>
            </w:r>
          </w:p>
          <w:p>
            <w:pPr>
              <w:spacing w:after="0"/>
            </w:pPr>
            <w:r>
              <w:rPr>
                <w:rFonts w:ascii="Arial" w:cs="Arial" w:eastAsia="Arial" w:hAnsi="Arial"/>
                <w:color w:val="3A3D45"/>
                <w:sz w:val="20"/>
                <w:szCs w:val="20"/>
              </w:rPr>
              <w:t xml:space="preserve">Long lower/upper wick rejecting a level — price aggressively tested the level and was pushed back. High probability signal at all key levels.</w:t>
            </w:r>
          </w:p>
        </w:tc>
        <w:tc>
          <w:tcPr>
            <w:tcW w:type="dxa" w:w="4560"/>
            <w:tcBorders>
              <w:top w:val="none"/>
              <w:left w:val="single" w:color="1CB8A0" w:sz="6"/>
              <w:bottom w:val="none"/>
              <w:right w:val="none"/>
            </w:tcBorders>
            <w:shd w:fill="F4F6FA" w:val="clear"/>
            <w:tcMar>
              <w:top w:type="dxa" w:w="120"/>
              <w:left w:type="dxa" w:w="160"/>
              <w:bottom w:type="dxa" w:w="120"/>
              <w:right w:type="dxa" w:w="100"/>
            </w:tcMar>
          </w:tcPr>
          <w:p>
            <w:pPr>
              <w:spacing w:after="40"/>
            </w:pPr>
            <w:r>
              <w:rPr>
                <w:rFonts w:ascii="Arial" w:cs="Arial" w:eastAsia="Arial" w:hAnsi="Arial"/>
                <w:b/>
                <w:bCs/>
                <w:color w:val="162040"/>
                <w:sz w:val="21"/>
                <w:szCs w:val="21"/>
              </w:rPr>
              <w:t xml:space="preserve">Liquidity Sweep + Return</w:t>
            </w:r>
          </w:p>
          <w:p>
            <w:pPr>
              <w:spacing w:after="0"/>
            </w:pPr>
            <w:r>
              <w:rPr>
                <w:rFonts w:ascii="Arial" w:cs="Arial" w:eastAsia="Arial" w:hAnsi="Arial"/>
                <w:color w:val="3A3D45"/>
                <w:sz w:val="20"/>
                <w:szCs w:val="20"/>
              </w:rPr>
              <w:t xml:space="preserve">Price briefly pierces through a level to trigger stop losses, then closes back. A deliberate institutional move — one of the most powerful signals in the system.</w:t>
            </w:r>
          </w:p>
        </w:tc>
      </w:tr>
    </w:tbl>
    <w:p>
      <w:pPr>
        <w:spacing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560"/>
        <w:gridCol w:w="4560"/>
      </w:tblGrid>
      <w:tr>
        <w:tc>
          <w:tcPr>
            <w:tcW w:type="dxa" w:w="4560"/>
            <w:tcBorders>
              <w:top w:val="none"/>
              <w:left w:val="single" w:color="1CB8A0" w:sz="6"/>
              <w:bottom w:val="none"/>
              <w:right w:val="none"/>
            </w:tcBorders>
            <w:shd w:fill="F4F6FA" w:val="clear"/>
            <w:tcMar>
              <w:top w:type="dxa" w:w="120"/>
              <w:left w:type="dxa" w:w="160"/>
              <w:bottom w:type="dxa" w:w="120"/>
              <w:right w:type="dxa" w:w="100"/>
            </w:tcMar>
          </w:tcPr>
          <w:p>
            <w:pPr>
              <w:spacing w:after="40"/>
            </w:pPr>
            <w:r>
              <w:rPr>
                <w:rFonts w:ascii="Arial" w:cs="Arial" w:eastAsia="Arial" w:hAnsi="Arial"/>
                <w:b/>
                <w:bCs/>
                <w:color w:val="162040"/>
                <w:sz w:val="21"/>
                <w:szCs w:val="21"/>
              </w:rPr>
              <w:t xml:space="preserve">Bearish/Bullish Engulfing</w:t>
            </w:r>
          </w:p>
          <w:p>
            <w:pPr>
              <w:spacing w:after="0"/>
            </w:pPr>
            <w:r>
              <w:rPr>
                <w:rFonts w:ascii="Arial" w:cs="Arial" w:eastAsia="Arial" w:hAnsi="Arial"/>
                <w:color w:val="3A3D45"/>
                <w:sz w:val="20"/>
                <w:szCs w:val="20"/>
              </w:rPr>
              <w:t xml:space="preserve">Current candle engulfs the prior candle's full range. Confirms a decisive momentum shift at a key structural point. Four variants from Basic to Volume Confirmed.</w:t>
            </w:r>
          </w:p>
        </w:tc>
        <w:tc>
          <w:tcPr>
            <w:tcW w:type="dxa" w:w="4560"/>
            <w:tcBorders>
              <w:top w:val="none"/>
              <w:left w:val="single" w:color="1CB8A0" w:sz="6"/>
              <w:bottom w:val="none"/>
              <w:right w:val="none"/>
            </w:tcBorders>
            <w:shd w:fill="F4F6FA" w:val="clear"/>
            <w:tcMar>
              <w:top w:type="dxa" w:w="120"/>
              <w:left w:type="dxa" w:w="160"/>
              <w:bottom w:type="dxa" w:w="120"/>
              <w:right w:type="dxa" w:w="100"/>
            </w:tcMar>
          </w:tcPr>
          <w:p>
            <w:pPr>
              <w:spacing w:after="40"/>
            </w:pPr>
            <w:r>
              <w:rPr>
                <w:rFonts w:ascii="Arial" w:cs="Arial" w:eastAsia="Arial" w:hAnsi="Arial"/>
                <w:b/>
                <w:bCs/>
                <w:color w:val="162040"/>
                <w:sz w:val="21"/>
                <w:szCs w:val="21"/>
              </w:rPr>
              <w:t xml:space="preserve">3-Candle Reversal</w:t>
            </w:r>
          </w:p>
          <w:p>
            <w:pPr>
              <w:spacing w:after="0"/>
            </w:pPr>
            <w:r>
              <w:rPr>
                <w:rFonts w:ascii="Arial" w:cs="Arial" w:eastAsia="Arial" w:hAnsi="Arial"/>
                <w:color w:val="3A3D45"/>
                <w:sz w:val="20"/>
                <w:szCs w:val="20"/>
              </w:rPr>
              <w:t xml:space="preserve">Three candles building in one direction followed by a reversal candle closing past the prior open. Confirms a short-term trend has exhausted at a level.</w:t>
            </w:r>
          </w:p>
        </w:tc>
      </w:tr>
    </w:tbl>
    <w:p>
      <w:pPr>
        <w:spacing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560"/>
        <w:gridCol w:w="4560"/>
      </w:tblGrid>
      <w:tr>
        <w:tc>
          <w:tcPr>
            <w:tcW w:type="dxa" w:w="4560"/>
            <w:tcBorders>
              <w:top w:val="none"/>
              <w:left w:val="single" w:color="1CB8A0" w:sz="6"/>
              <w:bottom w:val="none"/>
              <w:right w:val="none"/>
            </w:tcBorders>
            <w:shd w:fill="F4F6FA" w:val="clear"/>
            <w:tcMar>
              <w:top w:type="dxa" w:w="120"/>
              <w:left w:type="dxa" w:w="160"/>
              <w:bottom w:type="dxa" w:w="120"/>
              <w:right w:type="dxa" w:w="100"/>
            </w:tcMar>
          </w:tcPr>
          <w:p>
            <w:pPr>
              <w:spacing w:after="40"/>
            </w:pPr>
            <w:r>
              <w:rPr>
                <w:rFonts w:ascii="Arial" w:cs="Arial" w:eastAsia="Arial" w:hAnsi="Arial"/>
                <w:b/>
                <w:bCs/>
                <w:color w:val="162040"/>
                <w:sz w:val="21"/>
                <w:szCs w:val="21"/>
              </w:rPr>
              <w:t xml:space="preserve">Morning / Evening Star</w:t>
            </w:r>
          </w:p>
          <w:p>
            <w:pPr>
              <w:spacing w:after="0"/>
            </w:pPr>
            <w:r>
              <w:rPr>
                <w:rFonts w:ascii="Arial" w:cs="Arial" w:eastAsia="Arial" w:hAnsi="Arial"/>
                <w:color w:val="3A3D45"/>
                <w:sz w:val="20"/>
                <w:szCs w:val="20"/>
              </w:rPr>
              <w:t xml:space="preserve">Three-candle reversal with a doji at the level confirming indecision before the reversal. Rarer but highly accurate when it forms.</w:t>
            </w:r>
          </w:p>
        </w:tc>
        <w:tc>
          <w:tcPr>
            <w:tcW w:type="dxa" w:w="4560"/>
            <w:tcBorders>
              <w:top w:val="none"/>
              <w:left w:val="single" w:color="1CB8A0" w:sz="6"/>
              <w:bottom w:val="none"/>
              <w:right w:val="none"/>
            </w:tcBorders>
            <w:shd w:fill="F4F6FA" w:val="clear"/>
            <w:tcMar>
              <w:top w:type="dxa" w:w="120"/>
              <w:left w:type="dxa" w:w="160"/>
              <w:bottom w:type="dxa" w:w="120"/>
              <w:right w:type="dxa" w:w="100"/>
            </w:tcMar>
          </w:tcPr>
          <w:p>
            <w:pPr>
              <w:spacing w:after="40"/>
            </w:pPr>
            <w:r>
              <w:rPr>
                <w:rFonts w:ascii="Arial" w:cs="Arial" w:eastAsia="Arial" w:hAnsi="Arial"/>
                <w:b/>
                <w:bCs/>
                <w:color w:val="162040"/>
                <w:sz w:val="21"/>
                <w:szCs w:val="21"/>
              </w:rPr>
              <w:t xml:space="preserve">Momentum Candle</w:t>
            </w:r>
          </w:p>
          <w:p>
            <w:pPr>
              <w:spacing w:after="0"/>
            </w:pPr>
            <w:r>
              <w:rPr>
                <w:rFonts w:ascii="Arial" w:cs="Arial" w:eastAsia="Arial" w:hAnsi="Arial"/>
                <w:color w:val="3A3D45"/>
                <w:sz w:val="20"/>
                <w:szCs w:val="20"/>
              </w:rPr>
              <w:t xml:space="preserve">A large-bodied candle at a key level — body must exceed 1.5x the 10-bar average. Catches high-conviction breakout moves into a level.</w:t>
            </w:r>
          </w:p>
        </w:tc>
      </w:tr>
    </w:tbl>
    <w:p>
      <w:pPr>
        <w:spacing w:after="200"/>
      </w:pPr>
      <w:r>
        <w:t xml:space="preserve"/>
      </w:r>
    </w:p>
    <w:p>
      <w:r>
        <w:br w:type="page"/>
      </w:r>
    </w:p>
    <w:p>
      <w:pPr>
        <w:spacing w:after="80"/>
      </w:pPr>
      <w:r>
        <w:t xml:space="preserve"/>
      </w:r>
    </w:p>
    <w:p>
      <w:pPr>
        <w:spacing w:before="0" w:after="0"/>
      </w:pPr>
      <w:r>
        <w:rPr>
          <w:rFonts w:ascii="Arial" w:cs="Arial" w:eastAsia="Arial" w:hAnsi="Arial"/>
          <w:b/>
          <w:bCs/>
          <w:color w:val="0F1B35"/>
          <w:sz w:val="40"/>
          <w:szCs w:val="40"/>
        </w:rPr>
        <w:t xml:space="preserve">RISK MANAGEMENT SUITE</w:t>
      </w:r>
    </w:p>
    <w:p>
      <w:pPr>
        <w:pBdr>
          <w:bottom w:val="single" w:color="1CB8A0" w:sz="3" w:space="1"/>
        </w:pBdr>
        <w:spacing w:before="0" w:after="0"/>
      </w:pPr>
      <w:r>
        <w:t xml:space="preserve"/>
      </w:r>
    </w:p>
    <w:p>
      <w:pPr>
        <w:spacing w:after="120"/>
      </w:pPr>
      <w:r>
        <w:t xml:space="preserve"/>
      </w:r>
    </w:p>
    <w:p>
      <w:pPr>
        <w:spacing w:before="80" w:after="100"/>
      </w:pPr>
      <w:r>
        <w:rPr>
          <w:rFonts w:ascii="Arial" w:cs="Arial" w:eastAsia="Arial" w:hAnsi="Arial"/>
          <w:color w:val="3A3D45"/>
          <w:sz w:val="22"/>
          <w:szCs w:val="22"/>
        </w:rPr>
        <w:t xml:space="preserve">Oracle includes one of the most comprehensive risk management systems available in a TradingView strategy. Every element is independently configurable to match your account size, risk tolerance, and trading style.</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left w:val="single" w:color="C9952A" w:sz="8"/>
              <w:bottom w:val="none"/>
              <w:right w:val="none"/>
            </w:tcBorders>
            <w:shd w:fill="EAF0F8" w:val="clear"/>
            <w:tcMar>
              <w:top w:type="dxa" w:w="120"/>
              <w:left w:type="dxa" w:w="200"/>
              <w:bottom w:type="dxa" w:w="120"/>
              <w:right w:type="dxa" w:w="160"/>
            </w:tcMar>
          </w:tcPr>
          <w:p>
            <w:pPr>
              <w:spacing w:after="60"/>
            </w:pPr>
            <w:r>
              <w:rPr>
                <w:rFonts w:ascii="Arial" w:cs="Arial" w:eastAsia="Arial" w:hAnsi="Arial"/>
                <w:b/>
                <w:bCs/>
                <w:color w:val="0F1B35"/>
                <w:sz w:val="22"/>
                <w:szCs w:val="22"/>
              </w:rPr>
              <w:t xml:space="preserve">Three Stop Loss Modes</w:t>
            </w:r>
          </w:p>
          <w:p>
            <w:pPr>
              <w:spacing w:after="0"/>
            </w:pPr>
            <w:r>
              <w:rPr>
                <w:rFonts w:ascii="Arial" w:cs="Arial" w:eastAsia="Arial" w:hAnsi="Arial"/>
                <w:color w:val="3A3D45"/>
                <w:sz w:val="21"/>
                <w:szCs w:val="21"/>
              </w:rPr>
              <w:t xml:space="preserve">Fixed SL — traditional fixed stop at a set point distance. Trailing SL — activates after N points of profit, then trails price to lock in gains. ATR Dynamic SL — automatically adjusts stop width based on current market volatility, widening in volatile conditions and tightening in quiet ones.</w:t>
            </w:r>
          </w:p>
        </w:tc>
      </w:tr>
    </w:tbl>
    <w:p>
      <w:pPr>
        <w:spacing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left w:val="single" w:color="C9952A" w:sz="8"/>
              <w:bottom w:val="none"/>
              <w:right w:val="none"/>
            </w:tcBorders>
            <w:shd w:fill="EAF0F8" w:val="clear"/>
            <w:tcMar>
              <w:top w:type="dxa" w:w="120"/>
              <w:left w:type="dxa" w:w="200"/>
              <w:bottom w:type="dxa" w:w="120"/>
              <w:right w:type="dxa" w:w="160"/>
            </w:tcMar>
          </w:tcPr>
          <w:p>
            <w:pPr>
              <w:spacing w:after="60"/>
            </w:pPr>
            <w:r>
              <w:rPr>
                <w:rFonts w:ascii="Arial" w:cs="Arial" w:eastAsia="Arial" w:hAnsi="Arial"/>
                <w:b/>
                <w:bCs/>
                <w:color w:val="0F1B35"/>
                <w:sz w:val="22"/>
                <w:szCs w:val="22"/>
              </w:rPr>
              <w:t xml:space="preserve">Partial Close System</w:t>
            </w:r>
          </w:p>
          <w:p>
            <w:pPr>
              <w:spacing w:after="0"/>
            </w:pPr>
            <w:r>
              <w:rPr>
                <w:rFonts w:ascii="Arial" w:cs="Arial" w:eastAsia="Arial" w:hAnsi="Arial"/>
                <w:color w:val="3A3D45"/>
                <w:sz w:val="21"/>
                <w:szCs w:val="21"/>
              </w:rPr>
              <w:t xml:space="preserve">Close 50% of your position at TP1 to lock in guaranteed profit, then let the remaining 50% run toward TP2 with the trailing stop protecting it. This directly addresses the primary source of loss in the system — slow-moving trades that reverse before hitting their full target.</w:t>
            </w:r>
          </w:p>
        </w:tc>
      </w:tr>
    </w:tbl>
    <w:p>
      <w:pPr>
        <w:spacing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left w:val="single" w:color="C9952A" w:sz="8"/>
              <w:bottom w:val="none"/>
              <w:right w:val="none"/>
            </w:tcBorders>
            <w:shd w:fill="EAF0F8" w:val="clear"/>
            <w:tcMar>
              <w:top w:type="dxa" w:w="120"/>
              <w:left w:type="dxa" w:w="200"/>
              <w:bottom w:type="dxa" w:w="120"/>
              <w:right w:type="dxa" w:w="160"/>
            </w:tcMar>
          </w:tcPr>
          <w:p>
            <w:pPr>
              <w:spacing w:after="60"/>
            </w:pPr>
            <w:r>
              <w:rPr>
                <w:rFonts w:ascii="Arial" w:cs="Arial" w:eastAsia="Arial" w:hAnsi="Arial"/>
                <w:b/>
                <w:bCs/>
                <w:color w:val="0F1B35"/>
                <w:sz w:val="22"/>
                <w:szCs w:val="22"/>
              </w:rPr>
              <w:t xml:space="preserve">Daily, Session &amp; Weekly Limits</w:t>
            </w:r>
          </w:p>
          <w:p>
            <w:pPr>
              <w:spacing w:after="0"/>
            </w:pPr>
            <w:r>
              <w:rPr>
                <w:rFonts w:ascii="Arial" w:cs="Arial" w:eastAsia="Arial" w:hAnsi="Arial"/>
                <w:color w:val="3A3D45"/>
                <w:sz w:val="21"/>
                <w:szCs w:val="21"/>
              </w:rPr>
              <w:t xml:space="preserve">Independent profit targets and loss limits for each trading day, for London and New York sessions individually, and for the full week. When any limit is hit, Oracle immediately closes any open trade and halts new entries — protecting your account from runaway losses and locking in good days.</w:t>
            </w:r>
          </w:p>
        </w:tc>
      </w:tr>
    </w:tbl>
    <w:p>
      <w:pPr>
        <w:spacing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560"/>
        <w:gridCol w:w="4560"/>
      </w:tblGrid>
      <w:tr>
        <w:tc>
          <w:tcPr>
            <w:tcW w:type="dxa" w:w="4560"/>
            <w:tcBorders>
              <w:top w:val="none"/>
              <w:left w:val="single" w:color="1CB8A0" w:sz="6"/>
              <w:bottom w:val="none"/>
              <w:right w:val="none"/>
            </w:tcBorders>
            <w:shd w:fill="F4F6FA" w:val="clear"/>
            <w:tcMar>
              <w:top w:type="dxa" w:w="120"/>
              <w:left w:type="dxa" w:w="160"/>
              <w:bottom w:type="dxa" w:w="120"/>
              <w:right w:type="dxa" w:w="100"/>
            </w:tcMar>
          </w:tcPr>
          <w:p>
            <w:pPr>
              <w:spacing w:after="40"/>
            </w:pPr>
            <w:r>
              <w:rPr>
                <w:rFonts w:ascii="Arial" w:cs="Arial" w:eastAsia="Arial" w:hAnsi="Arial"/>
                <w:b/>
                <w:bCs/>
                <w:color w:val="162040"/>
                <w:sz w:val="21"/>
                <w:szCs w:val="21"/>
              </w:rPr>
              <w:t xml:space="preserve">Re-entry Block</w:t>
            </w:r>
          </w:p>
          <w:p>
            <w:pPr>
              <w:spacing w:after="0"/>
            </w:pPr>
            <w:r>
              <w:rPr>
                <w:rFonts w:ascii="Arial" w:cs="Arial" w:eastAsia="Arial" w:hAnsi="Arial"/>
                <w:color w:val="3A3D45"/>
                <w:sz w:val="20"/>
                <w:szCs w:val="20"/>
              </w:rPr>
              <w:t xml:space="preserve">After any losing trade, block new entries for a configurable number of minutes. Prevents the strategy immediately re-entering into the same unfavourable conditions.</w:t>
            </w:r>
          </w:p>
        </w:tc>
        <w:tc>
          <w:tcPr>
            <w:tcW w:type="dxa" w:w="4560"/>
            <w:tcBorders>
              <w:top w:val="none"/>
              <w:left w:val="single" w:color="1CB8A0" w:sz="6"/>
              <w:bottom w:val="none"/>
              <w:right w:val="none"/>
            </w:tcBorders>
            <w:shd w:fill="F4F6FA" w:val="clear"/>
            <w:tcMar>
              <w:top w:type="dxa" w:w="120"/>
              <w:left w:type="dxa" w:w="160"/>
              <w:bottom w:type="dxa" w:w="120"/>
              <w:right w:type="dxa" w:w="100"/>
            </w:tcMar>
          </w:tcPr>
          <w:p>
            <w:pPr>
              <w:spacing w:after="40"/>
            </w:pPr>
            <w:r>
              <w:rPr>
                <w:rFonts w:ascii="Arial" w:cs="Arial" w:eastAsia="Arial" w:hAnsi="Arial"/>
                <w:b/>
                <w:bCs/>
                <w:color w:val="162040"/>
                <w:sz w:val="21"/>
                <w:szCs w:val="21"/>
              </w:rPr>
              <w:t xml:space="preserve">Win Streak Lock-in</w:t>
            </w:r>
          </w:p>
          <w:p>
            <w:pPr>
              <w:spacing w:after="0"/>
            </w:pPr>
            <w:r>
              <w:rPr>
                <w:rFonts w:ascii="Arial" w:cs="Arial" w:eastAsia="Arial" w:hAnsi="Arial"/>
                <w:color w:val="3A3D45"/>
                <w:sz w:val="20"/>
                <w:szCs w:val="20"/>
              </w:rPr>
              <w:t xml:space="preserve">After N consecutive wins, automatically tighten the trailing SL to protect the run. Locks in a higher floor on equity after a strong streak.</w:t>
            </w:r>
          </w:p>
        </w:tc>
      </w:tr>
    </w:tbl>
    <w:p>
      <w:pPr>
        <w:spacing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560"/>
        <w:gridCol w:w="4560"/>
      </w:tblGrid>
      <w:tr>
        <w:tc>
          <w:tcPr>
            <w:tcW w:type="dxa" w:w="4560"/>
            <w:tcBorders>
              <w:top w:val="none"/>
              <w:left w:val="single" w:color="1CB8A0" w:sz="6"/>
              <w:bottom w:val="none"/>
              <w:right w:val="none"/>
            </w:tcBorders>
            <w:shd w:fill="F4F6FA" w:val="clear"/>
            <w:tcMar>
              <w:top w:type="dxa" w:w="120"/>
              <w:left w:type="dxa" w:w="160"/>
              <w:bottom w:type="dxa" w:w="120"/>
              <w:right w:type="dxa" w:w="100"/>
            </w:tcMar>
          </w:tcPr>
          <w:p>
            <w:pPr>
              <w:spacing w:after="40"/>
            </w:pPr>
            <w:r>
              <w:rPr>
                <w:rFonts w:ascii="Arial" w:cs="Arial" w:eastAsia="Arial" w:hAnsi="Arial"/>
                <w:b/>
                <w:bCs/>
                <w:color w:val="162040"/>
                <w:sz w:val="21"/>
                <w:szCs w:val="21"/>
              </w:rPr>
              <w:t xml:space="preserve">News Event Blackout</w:t>
            </w:r>
          </w:p>
          <w:p>
            <w:pPr>
              <w:spacing w:after="0"/>
            </w:pPr>
            <w:r>
              <w:rPr>
                <w:rFonts w:ascii="Arial" w:cs="Arial" w:eastAsia="Arial" w:hAnsi="Arial"/>
                <w:color w:val="3A3D45"/>
                <w:sz w:val="20"/>
                <w:szCs w:val="20"/>
              </w:rPr>
              <w:t xml:space="preserve">Set a recurring daily event time (e.g. 08:30 for US CPI, NFP, FOMC). Oracle blocks all entries within a configurable buffer window either side.</w:t>
            </w:r>
          </w:p>
        </w:tc>
        <w:tc>
          <w:tcPr>
            <w:tcW w:type="dxa" w:w="4560"/>
            <w:tcBorders>
              <w:top w:val="none"/>
              <w:left w:val="single" w:color="1CB8A0" w:sz="6"/>
              <w:bottom w:val="none"/>
              <w:right w:val="none"/>
            </w:tcBorders>
            <w:shd w:fill="F4F6FA" w:val="clear"/>
            <w:tcMar>
              <w:top w:type="dxa" w:w="120"/>
              <w:left w:type="dxa" w:w="160"/>
              <w:bottom w:type="dxa" w:w="120"/>
              <w:right w:type="dxa" w:w="100"/>
            </w:tcMar>
          </w:tcPr>
          <w:p>
            <w:pPr>
              <w:spacing w:after="40"/>
            </w:pPr>
            <w:r>
              <w:rPr>
                <w:rFonts w:ascii="Arial" w:cs="Arial" w:eastAsia="Arial" w:hAnsi="Arial"/>
                <w:b/>
                <w:bCs/>
                <w:color w:val="162040"/>
                <w:sz w:val="21"/>
                <w:szCs w:val="21"/>
              </w:rPr>
              <w:t xml:space="preserve">Breakeven Move</w:t>
            </w:r>
          </w:p>
          <w:p>
            <w:pPr>
              <w:spacing w:after="0"/>
            </w:pPr>
            <w:r>
              <w:rPr>
                <w:rFonts w:ascii="Arial" w:cs="Arial" w:eastAsia="Arial" w:hAnsi="Arial"/>
                <w:color w:val="3A3D45"/>
                <w:sz w:val="20"/>
                <w:szCs w:val="20"/>
              </w:rPr>
              <w:t xml:space="preserve">Once price moves X points in your favour, the stop loss automatically moves to your entry price — guaranteeing a breakeven trade at worst.</w:t>
            </w:r>
          </w:p>
        </w:tc>
      </w:tr>
    </w:tbl>
    <w:p>
      <w:pPr>
        <w:spacing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560"/>
        <w:gridCol w:w="4560"/>
      </w:tblGrid>
      <w:tr>
        <w:tc>
          <w:tcPr>
            <w:tcW w:type="dxa" w:w="4560"/>
            <w:tcBorders>
              <w:top w:val="none"/>
              <w:left w:val="single" w:color="1CB8A0" w:sz="6"/>
              <w:bottom w:val="none"/>
              <w:right w:val="none"/>
            </w:tcBorders>
            <w:shd w:fill="F4F6FA" w:val="clear"/>
            <w:tcMar>
              <w:top w:type="dxa" w:w="120"/>
              <w:left w:type="dxa" w:w="160"/>
              <w:bottom w:type="dxa" w:w="120"/>
              <w:right w:type="dxa" w:w="100"/>
            </w:tcMar>
          </w:tcPr>
          <w:p>
            <w:pPr>
              <w:spacing w:after="40"/>
            </w:pPr>
            <w:r>
              <w:rPr>
                <w:rFonts w:ascii="Arial" w:cs="Arial" w:eastAsia="Arial" w:hAnsi="Arial"/>
                <w:b/>
                <w:bCs/>
                <w:color w:val="162040"/>
                <w:sz w:val="21"/>
                <w:szCs w:val="21"/>
              </w:rPr>
              <w:t xml:space="preserve">Max Trade Duration</w:t>
            </w:r>
          </w:p>
          <w:p>
            <w:pPr>
              <w:spacing w:after="0"/>
            </w:pPr>
            <w:r>
              <w:rPr>
                <w:rFonts w:ascii="Arial" w:cs="Arial" w:eastAsia="Arial" w:hAnsi="Arial"/>
                <w:color w:val="3A3D45"/>
                <w:sz w:val="20"/>
                <w:szCs w:val="20"/>
              </w:rPr>
              <w:t xml:space="preserve">Any trade still open after 20, 30, 60, or 90 minutes is automatically closed. Based on backtesting, 90%+ of winning trades close within 6 minutes.</w:t>
            </w:r>
          </w:p>
        </w:tc>
        <w:tc>
          <w:tcPr>
            <w:tcW w:type="dxa" w:w="4560"/>
            <w:tcBorders>
              <w:top w:val="none"/>
              <w:left w:val="single" w:color="1CB8A0" w:sz="6"/>
              <w:bottom w:val="none"/>
              <w:right w:val="none"/>
            </w:tcBorders>
            <w:shd w:fill="F4F6FA" w:val="clear"/>
            <w:tcMar>
              <w:top w:type="dxa" w:w="120"/>
              <w:left w:type="dxa" w:w="160"/>
              <w:bottom w:type="dxa" w:w="120"/>
              <w:right w:type="dxa" w:w="100"/>
            </w:tcMar>
          </w:tcPr>
          <w:p>
            <w:pPr>
              <w:spacing w:after="40"/>
            </w:pPr>
            <w:r>
              <w:rPr>
                <w:rFonts w:ascii="Arial" w:cs="Arial" w:eastAsia="Arial" w:hAnsi="Arial"/>
                <w:b/>
                <w:bCs/>
                <w:color w:val="162040"/>
                <w:sz w:val="21"/>
                <w:szCs w:val="21"/>
              </w:rPr>
              <w:t xml:space="preserve">EMA Trend Filter</w:t>
            </w:r>
          </w:p>
          <w:p>
            <w:pPr>
              <w:spacing w:after="0"/>
            </w:pPr>
            <w:r>
              <w:rPr>
                <w:rFonts w:ascii="Arial" w:cs="Arial" w:eastAsia="Arial" w:hAnsi="Arial"/>
                <w:color w:val="3A3D45"/>
                <w:sz w:val="20"/>
                <w:szCs w:val="20"/>
              </w:rPr>
              <w:t xml:space="preserve">Optional filter: take longs only when price is above the EMA, shorts only below. Eliminates counter-trend entries that work against the prevailing momentum.</w:t>
            </w:r>
          </w:p>
        </w:tc>
      </w:tr>
    </w:tbl>
    <w:p>
      <w:pPr>
        <w:spacing w:after="200"/>
      </w:pPr>
      <w:r>
        <w:t xml:space="preserve"/>
      </w:r>
    </w:p>
    <w:p>
      <w:r>
        <w:br w:type="page"/>
      </w:r>
    </w:p>
    <w:p>
      <w:pPr>
        <w:spacing w:after="80"/>
      </w:pPr>
      <w:r>
        <w:t xml:space="preserve"/>
      </w:r>
    </w:p>
    <w:p>
      <w:pPr>
        <w:spacing w:before="0" w:after="0"/>
      </w:pPr>
      <w:r>
        <w:rPr>
          <w:rFonts w:ascii="Arial" w:cs="Arial" w:eastAsia="Arial" w:hAnsi="Arial"/>
          <w:b/>
          <w:bCs/>
          <w:color w:val="0F1B35"/>
          <w:sz w:val="40"/>
          <w:szCs w:val="40"/>
        </w:rPr>
        <w:t xml:space="preserve">VERIFIED PERFORMANCE</w:t>
      </w:r>
    </w:p>
    <w:p>
      <w:pPr>
        <w:pBdr>
          <w:bottom w:val="single" w:color="1CB8A0" w:sz="3" w:space="1"/>
        </w:pBdr>
        <w:spacing w:before="0" w:after="0"/>
      </w:pPr>
      <w:r>
        <w:t xml:space="preserve"/>
      </w:r>
    </w:p>
    <w:p>
      <w:pPr>
        <w:spacing w:after="80"/>
      </w:pPr>
      <w:r>
        <w:t xml:space="preserve"/>
      </w:r>
    </w:p>
    <w:p>
      <w:pPr>
        <w:spacing w:before="80" w:after="100"/>
      </w:pPr>
      <w:r>
        <w:rPr>
          <w:rFonts w:ascii="Arial" w:cs="Arial" w:eastAsia="Arial" w:hAnsi="Arial"/>
          <w:color w:val="3A3D45"/>
          <w:sz w:val="22"/>
          <w:szCs w:val="22"/>
        </w:rPr>
        <w:t xml:space="preserve">All results below are from backtesting on CME Micro E-mini Nasdaq-100 Futures (MNQ1!) on a 5-minute chart, March 2025 to March 2026. Results are net of $0.50 per contract commissions. The strategy ran with Trailing SL settings (activate 20pts, trail 10pts) and all key signals enabled.</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200"/>
        <w:gridCol w:w="2000"/>
        <w:gridCol w:w="4160"/>
      </w:tblGrid>
      <w:tr>
        <w:tc>
          <w:tcPr>
            <w:tcW w:type="dxa" w:w="3200"/>
            <w:tcBorders>
              <w:top w:val="single" w:color="BBBEC8" w:sz="1"/>
              <w:left w:val="single" w:color="BBBEC8" w:sz="1"/>
              <w:bottom w:val="single" w:color="BBBEC8" w:sz="1"/>
              <w:right w:val="single" w:color="BBBEC8" w:sz="1"/>
            </w:tcBorders>
            <w:shd w:fill="0F1B35" w:val="clear"/>
            <w:tcMar>
              <w:top w:type="dxa" w:w="100"/>
              <w:left w:type="dxa" w:w="160"/>
              <w:bottom w:type="dxa" w:w="100"/>
              <w:right w:type="dxa" w:w="80"/>
            </w:tcMar>
          </w:tcPr>
          <w:p>
            <w:pPr>
              <w:jc w:val="left"/>
            </w:pPr>
            <w:r>
              <w:rPr>
                <w:rFonts w:ascii="Arial" w:cs="Arial" w:eastAsia="Arial" w:hAnsi="Arial"/>
                <w:b/>
                <w:bCs/>
                <w:color w:val="F0C060"/>
                <w:sz w:val="21"/>
                <w:szCs w:val="21"/>
              </w:rPr>
              <w:t xml:space="preserve">Metric</w:t>
            </w:r>
          </w:p>
        </w:tc>
        <w:tc>
          <w:tcPr>
            <w:tcW w:type="dxa" w:w="2000"/>
            <w:tcBorders>
              <w:top w:val="single" w:color="BBBEC8" w:sz="1"/>
              <w:left w:val="single" w:color="BBBEC8" w:sz="1"/>
              <w:bottom w:val="single" w:color="BBBEC8" w:sz="1"/>
              <w:right w:val="single" w:color="BBBEC8" w:sz="1"/>
            </w:tcBorders>
            <w:shd w:fill="0F1B35" w:val="clear"/>
            <w:tcMar>
              <w:top w:type="dxa" w:w="100"/>
              <w:left w:type="dxa" w:w="160"/>
              <w:bottom w:type="dxa" w:w="100"/>
              <w:right w:type="dxa" w:w="80"/>
            </w:tcMar>
          </w:tcPr>
          <w:p>
            <w:pPr>
              <w:jc w:val="center"/>
            </w:pPr>
            <w:r>
              <w:rPr>
                <w:rFonts w:ascii="Arial" w:cs="Arial" w:eastAsia="Arial" w:hAnsi="Arial"/>
                <w:b/>
                <w:bCs/>
                <w:color w:val="F0C060"/>
                <w:sz w:val="21"/>
                <w:szCs w:val="21"/>
              </w:rPr>
              <w:t xml:space="preserve">Result</w:t>
            </w:r>
          </w:p>
        </w:tc>
        <w:tc>
          <w:tcPr>
            <w:tcW w:type="dxa" w:w="4160"/>
            <w:tcBorders>
              <w:top w:val="single" w:color="BBBEC8" w:sz="1"/>
              <w:left w:val="single" w:color="BBBEC8" w:sz="1"/>
              <w:bottom w:val="single" w:color="BBBEC8" w:sz="1"/>
              <w:right w:val="single" w:color="BBBEC8" w:sz="1"/>
            </w:tcBorders>
            <w:shd w:fill="0F1B35" w:val="clear"/>
            <w:tcMar>
              <w:top w:type="dxa" w:w="100"/>
              <w:left w:type="dxa" w:w="160"/>
              <w:bottom w:type="dxa" w:w="100"/>
              <w:right w:type="dxa" w:w="80"/>
            </w:tcMar>
          </w:tcPr>
          <w:p>
            <w:pPr>
              <w:jc w:val="left"/>
            </w:pPr>
            <w:r>
              <w:rPr>
                <w:rFonts w:ascii="Arial" w:cs="Arial" w:eastAsia="Arial" w:hAnsi="Arial"/>
                <w:b/>
                <w:bCs/>
                <w:color w:val="F0C060"/>
                <w:sz w:val="21"/>
                <w:szCs w:val="21"/>
              </w:rPr>
              <w:t xml:space="preserve">Notes</w:t>
            </w:r>
          </w:p>
        </w:tc>
      </w:tr>
      <w:tr>
        <w:tc>
          <w:tcPr>
            <w:tcW w:type="dxa" w:w="3200"/>
            <w:tcBorders>
              <w:top w:val="single" w:color="BBBEC8" w:sz="1"/>
              <w:left w:val="single" w:color="BBBEC8" w:sz="1"/>
              <w:bottom w:val="single" w:color="BBBEC8" w:sz="1"/>
              <w:right w:val="single" w:color="BBBEC8" w:sz="1"/>
            </w:tcBorders>
            <w:shd w:fill="F4F6FA" w:val="clear"/>
            <w:tcMar>
              <w:top w:type="dxa" w:w="80"/>
              <w:left w:type="dxa" w:w="160"/>
              <w:bottom w:type="dxa" w:w="80"/>
              <w:right w:type="dxa" w:w="80"/>
            </w:tcMar>
          </w:tcPr>
          <w:p>
            <w:r>
              <w:rPr>
                <w:rFonts w:ascii="Arial" w:cs="Arial" w:eastAsia="Arial" w:hAnsi="Arial"/>
                <w:b/>
                <w:bCs/>
                <w:color w:val="162040"/>
                <w:sz w:val="21"/>
                <w:szCs w:val="21"/>
              </w:rPr>
              <w:t xml:space="preserve">Total P&amp;L — 12 months</w:t>
            </w:r>
          </w:p>
        </w:tc>
        <w:tc>
          <w:tcPr>
            <w:tcW w:type="dxa" w:w="2000"/>
            <w:tcBorders>
              <w:top w:val="single" w:color="BBBEC8" w:sz="1"/>
              <w:left w:val="single" w:color="BBBEC8" w:sz="1"/>
              <w:bottom w:val="single" w:color="BBBEC8" w:sz="1"/>
              <w:right w:val="single" w:color="BBBEC8" w:sz="1"/>
            </w:tcBorders>
            <w:shd w:fill="F4F6FA" w:val="clear"/>
            <w:tcMar>
              <w:top w:type="dxa" w:w="80"/>
              <w:left w:type="dxa" w:w="120"/>
              <w:bottom w:type="dxa" w:w="80"/>
              <w:right w:type="dxa" w:w="80"/>
            </w:tcMar>
          </w:tcPr>
          <w:p>
            <w:pPr>
              <w:jc w:val="center"/>
            </w:pPr>
            <w:r>
              <w:rPr>
                <w:rFonts w:ascii="Arial" w:cs="Arial" w:eastAsia="Arial" w:hAnsi="Arial"/>
                <w:b/>
                <w:bCs/>
                <w:color w:val="C9952A"/>
                <w:sz w:val="22"/>
                <w:szCs w:val="22"/>
              </w:rPr>
              <w:t xml:space="preserve">+$18,462</w:t>
            </w:r>
          </w:p>
        </w:tc>
        <w:tc>
          <w:tcPr>
            <w:tcW w:type="dxa" w:w="4160"/>
            <w:tcBorders>
              <w:top w:val="single" w:color="BBBEC8" w:sz="1"/>
              <w:left w:val="single" w:color="BBBEC8" w:sz="1"/>
              <w:bottom w:val="single" w:color="BBBEC8" w:sz="1"/>
              <w:right w:val="single" w:color="BBBEC8" w:sz="1"/>
            </w:tcBorders>
            <w:shd w:fill="F4F6FA" w:val="clear"/>
            <w:tcMar>
              <w:top w:type="dxa" w:w="80"/>
              <w:left w:type="dxa" w:w="120"/>
              <w:bottom w:type="dxa" w:w="80"/>
              <w:right w:type="dxa" w:w="80"/>
            </w:tcMar>
          </w:tcPr>
          <w:p>
            <w:r>
              <w:rPr>
                <w:rFonts w:ascii="Arial" w:cs="Arial" w:eastAsia="Arial" w:hAnsi="Arial"/>
                <w:color w:val="3A3D45"/>
                <w:sz w:val="20"/>
                <w:szCs w:val="20"/>
              </w:rPr>
              <w:t xml:space="preserve">Net of commissions on MNQ1! futures</w:t>
            </w:r>
          </w:p>
        </w:tc>
      </w:tr>
      <w:tr>
        <w:tc>
          <w:tcPr>
            <w:tcW w:type="dxa" w:w="3200"/>
            <w:tcBorders>
              <w:top w:val="single" w:color="BBBEC8" w:sz="1"/>
              <w:left w:val="single" w:color="BBBEC8" w:sz="1"/>
              <w:bottom w:val="single" w:color="BBBEC8" w:sz="1"/>
              <w:right w:val="single" w:color="BBBEC8" w:sz="1"/>
            </w:tcBorders>
            <w:shd w:fill="EAF0F8" w:val="clear"/>
            <w:tcMar>
              <w:top w:type="dxa" w:w="80"/>
              <w:left w:type="dxa" w:w="160"/>
              <w:bottom w:type="dxa" w:w="80"/>
              <w:right w:type="dxa" w:w="80"/>
            </w:tcMar>
          </w:tcPr>
          <w:p>
            <w:r>
              <w:rPr>
                <w:rFonts w:ascii="Arial" w:cs="Arial" w:eastAsia="Arial" w:hAnsi="Arial"/>
                <w:b/>
                <w:bCs/>
                <w:color w:val="162040"/>
                <w:sz w:val="21"/>
                <w:szCs w:val="21"/>
              </w:rPr>
              <w:t xml:space="preserve">Win Rate</w:t>
            </w:r>
          </w:p>
        </w:tc>
        <w:tc>
          <w:tcPr>
            <w:tcW w:type="dxa" w:w="2000"/>
            <w:tcBorders>
              <w:top w:val="single" w:color="BBBEC8" w:sz="1"/>
              <w:left w:val="single" w:color="BBBEC8" w:sz="1"/>
              <w:bottom w:val="single" w:color="BBBEC8" w:sz="1"/>
              <w:right w:val="single" w:color="BBBEC8" w:sz="1"/>
            </w:tcBorders>
            <w:shd w:fill="EAF0F8" w:val="clear"/>
            <w:tcMar>
              <w:top w:type="dxa" w:w="80"/>
              <w:left w:type="dxa" w:w="120"/>
              <w:bottom w:type="dxa" w:w="80"/>
              <w:right w:type="dxa" w:w="80"/>
            </w:tcMar>
          </w:tcPr>
          <w:p>
            <w:pPr>
              <w:jc w:val="center"/>
            </w:pPr>
            <w:r>
              <w:rPr>
                <w:rFonts w:ascii="Arial" w:cs="Arial" w:eastAsia="Arial" w:hAnsi="Arial"/>
                <w:b/>
                <w:bCs/>
                <w:color w:val="C9952A"/>
                <w:sz w:val="22"/>
                <w:szCs w:val="22"/>
              </w:rPr>
              <w:t xml:space="preserve">81.1%</w:t>
            </w:r>
          </w:p>
        </w:tc>
        <w:tc>
          <w:tcPr>
            <w:tcW w:type="dxa" w:w="4160"/>
            <w:tcBorders>
              <w:top w:val="single" w:color="BBBEC8" w:sz="1"/>
              <w:left w:val="single" w:color="BBBEC8" w:sz="1"/>
              <w:bottom w:val="single" w:color="BBBEC8" w:sz="1"/>
              <w:right w:val="single" w:color="BBBEC8" w:sz="1"/>
            </w:tcBorders>
            <w:shd w:fill="EAF0F8" w:val="clear"/>
            <w:tcMar>
              <w:top w:type="dxa" w:w="80"/>
              <w:left w:type="dxa" w:w="120"/>
              <w:bottom w:type="dxa" w:w="80"/>
              <w:right w:type="dxa" w:w="80"/>
            </w:tcMar>
          </w:tcPr>
          <w:p>
            <w:r>
              <w:rPr>
                <w:rFonts w:ascii="Arial" w:cs="Arial" w:eastAsia="Arial" w:hAnsi="Arial"/>
                <w:color w:val="3A3D45"/>
                <w:sz w:val="20"/>
                <w:szCs w:val="20"/>
              </w:rPr>
              <w:t xml:space="preserve">1,032 winners from 1,273 trades</w:t>
            </w:r>
          </w:p>
        </w:tc>
      </w:tr>
      <w:tr>
        <w:tc>
          <w:tcPr>
            <w:tcW w:type="dxa" w:w="3200"/>
            <w:tcBorders>
              <w:top w:val="single" w:color="BBBEC8" w:sz="1"/>
              <w:left w:val="single" w:color="BBBEC8" w:sz="1"/>
              <w:bottom w:val="single" w:color="BBBEC8" w:sz="1"/>
              <w:right w:val="single" w:color="BBBEC8" w:sz="1"/>
            </w:tcBorders>
            <w:shd w:fill="F4F6FA" w:val="clear"/>
            <w:tcMar>
              <w:top w:type="dxa" w:w="80"/>
              <w:left w:type="dxa" w:w="160"/>
              <w:bottom w:type="dxa" w:w="80"/>
              <w:right w:type="dxa" w:w="80"/>
            </w:tcMar>
          </w:tcPr>
          <w:p>
            <w:r>
              <w:rPr>
                <w:rFonts w:ascii="Arial" w:cs="Arial" w:eastAsia="Arial" w:hAnsi="Arial"/>
                <w:b/>
                <w:bCs/>
                <w:color w:val="162040"/>
                <w:sz w:val="21"/>
                <w:szCs w:val="21"/>
              </w:rPr>
              <w:t xml:space="preserve">Profit Factor</w:t>
            </w:r>
          </w:p>
        </w:tc>
        <w:tc>
          <w:tcPr>
            <w:tcW w:type="dxa" w:w="2000"/>
            <w:tcBorders>
              <w:top w:val="single" w:color="BBBEC8" w:sz="1"/>
              <w:left w:val="single" w:color="BBBEC8" w:sz="1"/>
              <w:bottom w:val="single" w:color="BBBEC8" w:sz="1"/>
              <w:right w:val="single" w:color="BBBEC8" w:sz="1"/>
            </w:tcBorders>
            <w:shd w:fill="F4F6FA" w:val="clear"/>
            <w:tcMar>
              <w:top w:type="dxa" w:w="80"/>
              <w:left w:type="dxa" w:w="120"/>
              <w:bottom w:type="dxa" w:w="80"/>
              <w:right w:type="dxa" w:w="80"/>
            </w:tcMar>
          </w:tcPr>
          <w:p>
            <w:pPr>
              <w:jc w:val="center"/>
            </w:pPr>
            <w:r>
              <w:rPr>
                <w:rFonts w:ascii="Arial" w:cs="Arial" w:eastAsia="Arial" w:hAnsi="Arial"/>
                <w:b/>
                <w:bCs/>
                <w:color w:val="C9952A"/>
                <w:sz w:val="22"/>
                <w:szCs w:val="22"/>
              </w:rPr>
              <w:t xml:space="preserve">1.212</w:t>
            </w:r>
          </w:p>
        </w:tc>
        <w:tc>
          <w:tcPr>
            <w:tcW w:type="dxa" w:w="4160"/>
            <w:tcBorders>
              <w:top w:val="single" w:color="BBBEC8" w:sz="1"/>
              <w:left w:val="single" w:color="BBBEC8" w:sz="1"/>
              <w:bottom w:val="single" w:color="BBBEC8" w:sz="1"/>
              <w:right w:val="single" w:color="BBBEC8" w:sz="1"/>
            </w:tcBorders>
            <w:shd w:fill="F4F6FA" w:val="clear"/>
            <w:tcMar>
              <w:top w:type="dxa" w:w="80"/>
              <w:left w:type="dxa" w:w="120"/>
              <w:bottom w:type="dxa" w:w="80"/>
              <w:right w:type="dxa" w:w="80"/>
            </w:tcMar>
          </w:tcPr>
          <w:p>
            <w:r>
              <w:rPr>
                <w:rFonts w:ascii="Arial" w:cs="Arial" w:eastAsia="Arial" w:hAnsi="Arial"/>
                <w:color w:val="3A3D45"/>
                <w:sz w:val="20"/>
                <w:szCs w:val="20"/>
              </w:rPr>
              <w:t xml:space="preserve">Gross profit ÷ gross loss</w:t>
            </w:r>
          </w:p>
        </w:tc>
      </w:tr>
      <w:tr>
        <w:tc>
          <w:tcPr>
            <w:tcW w:type="dxa" w:w="3200"/>
            <w:tcBorders>
              <w:top w:val="single" w:color="BBBEC8" w:sz="1"/>
              <w:left w:val="single" w:color="BBBEC8" w:sz="1"/>
              <w:bottom w:val="single" w:color="BBBEC8" w:sz="1"/>
              <w:right w:val="single" w:color="BBBEC8" w:sz="1"/>
            </w:tcBorders>
            <w:shd w:fill="EAF0F8" w:val="clear"/>
            <w:tcMar>
              <w:top w:type="dxa" w:w="80"/>
              <w:left w:type="dxa" w:w="160"/>
              <w:bottom w:type="dxa" w:w="80"/>
              <w:right w:type="dxa" w:w="80"/>
            </w:tcMar>
          </w:tcPr>
          <w:p>
            <w:r>
              <w:rPr>
                <w:rFonts w:ascii="Arial" w:cs="Arial" w:eastAsia="Arial" w:hAnsi="Arial"/>
                <w:b/>
                <w:bCs/>
                <w:color w:val="162040"/>
                <w:sz w:val="21"/>
                <w:szCs w:val="21"/>
              </w:rPr>
              <w:t xml:space="preserve">Max Equity Drawdown</w:t>
            </w:r>
          </w:p>
        </w:tc>
        <w:tc>
          <w:tcPr>
            <w:tcW w:type="dxa" w:w="2000"/>
            <w:tcBorders>
              <w:top w:val="single" w:color="BBBEC8" w:sz="1"/>
              <w:left w:val="single" w:color="BBBEC8" w:sz="1"/>
              <w:bottom w:val="single" w:color="BBBEC8" w:sz="1"/>
              <w:right w:val="single" w:color="BBBEC8" w:sz="1"/>
            </w:tcBorders>
            <w:shd w:fill="EAF0F8" w:val="clear"/>
            <w:tcMar>
              <w:top w:type="dxa" w:w="80"/>
              <w:left w:type="dxa" w:w="120"/>
              <w:bottom w:type="dxa" w:w="80"/>
              <w:right w:type="dxa" w:w="80"/>
            </w:tcMar>
          </w:tcPr>
          <w:p>
            <w:pPr>
              <w:jc w:val="center"/>
            </w:pPr>
            <w:r>
              <w:rPr>
                <w:rFonts w:ascii="Arial" w:cs="Arial" w:eastAsia="Arial" w:hAnsi="Arial"/>
                <w:b/>
                <w:bCs/>
                <w:color w:val="C9952A"/>
                <w:sz w:val="22"/>
                <w:szCs w:val="22"/>
              </w:rPr>
              <w:t xml:space="preserve">0.81%</w:t>
            </w:r>
          </w:p>
        </w:tc>
        <w:tc>
          <w:tcPr>
            <w:tcW w:type="dxa" w:w="4160"/>
            <w:tcBorders>
              <w:top w:val="single" w:color="BBBEC8" w:sz="1"/>
              <w:left w:val="single" w:color="BBBEC8" w:sz="1"/>
              <w:bottom w:val="single" w:color="BBBEC8" w:sz="1"/>
              <w:right w:val="single" w:color="BBBEC8" w:sz="1"/>
            </w:tcBorders>
            <w:shd w:fill="EAF0F8" w:val="clear"/>
            <w:tcMar>
              <w:top w:type="dxa" w:w="80"/>
              <w:left w:type="dxa" w:w="120"/>
              <w:bottom w:type="dxa" w:w="80"/>
              <w:right w:type="dxa" w:w="80"/>
            </w:tcMar>
          </w:tcPr>
          <w:p>
            <w:r>
              <w:rPr>
                <w:rFonts w:ascii="Arial" w:cs="Arial" w:eastAsia="Arial" w:hAnsi="Arial"/>
                <w:color w:val="3A3D45"/>
                <w:sz w:val="20"/>
                <w:szCs w:val="20"/>
              </w:rPr>
              <w:t xml:space="preserve">Remarkably controlled for 1,273 trades</w:t>
            </w:r>
          </w:p>
        </w:tc>
      </w:tr>
      <w:tr>
        <w:tc>
          <w:tcPr>
            <w:tcW w:type="dxa" w:w="3200"/>
            <w:tcBorders>
              <w:top w:val="single" w:color="BBBEC8" w:sz="1"/>
              <w:left w:val="single" w:color="BBBEC8" w:sz="1"/>
              <w:bottom w:val="single" w:color="BBBEC8" w:sz="1"/>
              <w:right w:val="single" w:color="BBBEC8" w:sz="1"/>
            </w:tcBorders>
            <w:shd w:fill="F4F6FA" w:val="clear"/>
            <w:tcMar>
              <w:top w:type="dxa" w:w="80"/>
              <w:left w:type="dxa" w:w="160"/>
              <w:bottom w:type="dxa" w:w="80"/>
              <w:right w:type="dxa" w:w="80"/>
            </w:tcMar>
          </w:tcPr>
          <w:p>
            <w:r>
              <w:rPr>
                <w:rFonts w:ascii="Arial" w:cs="Arial" w:eastAsia="Arial" w:hAnsi="Arial"/>
                <w:b/>
                <w:bCs/>
                <w:color w:val="162040"/>
                <w:sz w:val="21"/>
                <w:szCs w:val="21"/>
              </w:rPr>
              <w:t xml:space="preserve">Avg Winning Trade</w:t>
            </w:r>
          </w:p>
        </w:tc>
        <w:tc>
          <w:tcPr>
            <w:tcW w:type="dxa" w:w="2000"/>
            <w:tcBorders>
              <w:top w:val="single" w:color="BBBEC8" w:sz="1"/>
              <w:left w:val="single" w:color="BBBEC8" w:sz="1"/>
              <w:bottom w:val="single" w:color="BBBEC8" w:sz="1"/>
              <w:right w:val="single" w:color="BBBEC8" w:sz="1"/>
            </w:tcBorders>
            <w:shd w:fill="F4F6FA" w:val="clear"/>
            <w:tcMar>
              <w:top w:type="dxa" w:w="80"/>
              <w:left w:type="dxa" w:w="120"/>
              <w:bottom w:type="dxa" w:w="80"/>
              <w:right w:type="dxa" w:w="80"/>
            </w:tcMar>
          </w:tcPr>
          <w:p>
            <w:pPr>
              <w:jc w:val="center"/>
            </w:pPr>
            <w:r>
              <w:rPr>
                <w:rFonts w:ascii="Arial" w:cs="Arial" w:eastAsia="Arial" w:hAnsi="Arial"/>
                <w:b/>
                <w:bCs/>
                <w:color w:val="C9952A"/>
                <w:sz w:val="22"/>
                <w:szCs w:val="22"/>
              </w:rPr>
              <w:t xml:space="preserve">+$102.47</w:t>
            </w:r>
          </w:p>
        </w:tc>
        <w:tc>
          <w:tcPr>
            <w:tcW w:type="dxa" w:w="4160"/>
            <w:tcBorders>
              <w:top w:val="single" w:color="BBBEC8" w:sz="1"/>
              <w:left w:val="single" w:color="BBBEC8" w:sz="1"/>
              <w:bottom w:val="single" w:color="BBBEC8" w:sz="1"/>
              <w:right w:val="single" w:color="BBBEC8" w:sz="1"/>
            </w:tcBorders>
            <w:shd w:fill="F4F6FA" w:val="clear"/>
            <w:tcMar>
              <w:top w:type="dxa" w:w="80"/>
              <w:left w:type="dxa" w:w="120"/>
              <w:bottom w:type="dxa" w:w="80"/>
              <w:right w:type="dxa" w:w="80"/>
            </w:tcMar>
          </w:tcPr>
          <w:p>
            <w:r>
              <w:rPr>
                <w:rFonts w:ascii="Arial" w:cs="Arial" w:eastAsia="Arial" w:hAnsi="Arial"/>
                <w:color w:val="3A3D45"/>
                <w:sz w:val="20"/>
                <w:szCs w:val="20"/>
              </w:rPr>
              <w:t xml:space="preserve">Fast exits — avg 3–6 minutes</w:t>
            </w:r>
          </w:p>
        </w:tc>
      </w:tr>
      <w:tr>
        <w:tc>
          <w:tcPr>
            <w:tcW w:type="dxa" w:w="3200"/>
            <w:tcBorders>
              <w:top w:val="single" w:color="BBBEC8" w:sz="1"/>
              <w:left w:val="single" w:color="BBBEC8" w:sz="1"/>
              <w:bottom w:val="single" w:color="BBBEC8" w:sz="1"/>
              <w:right w:val="single" w:color="BBBEC8" w:sz="1"/>
            </w:tcBorders>
            <w:shd w:fill="EAF0F8" w:val="clear"/>
            <w:tcMar>
              <w:top w:type="dxa" w:w="80"/>
              <w:left w:type="dxa" w:w="160"/>
              <w:bottom w:type="dxa" w:w="80"/>
              <w:right w:type="dxa" w:w="80"/>
            </w:tcMar>
          </w:tcPr>
          <w:p>
            <w:r>
              <w:rPr>
                <w:rFonts w:ascii="Arial" w:cs="Arial" w:eastAsia="Arial" w:hAnsi="Arial"/>
                <w:b/>
                <w:bCs/>
                <w:color w:val="162040"/>
                <w:sz w:val="21"/>
                <w:szCs w:val="21"/>
              </w:rPr>
              <w:t xml:space="preserve">Avg Losing Trade</w:t>
            </w:r>
          </w:p>
        </w:tc>
        <w:tc>
          <w:tcPr>
            <w:tcW w:type="dxa" w:w="2000"/>
            <w:tcBorders>
              <w:top w:val="single" w:color="BBBEC8" w:sz="1"/>
              <w:left w:val="single" w:color="BBBEC8" w:sz="1"/>
              <w:bottom w:val="single" w:color="BBBEC8" w:sz="1"/>
              <w:right w:val="single" w:color="BBBEC8" w:sz="1"/>
            </w:tcBorders>
            <w:shd w:fill="EAF0F8" w:val="clear"/>
            <w:tcMar>
              <w:top w:type="dxa" w:w="80"/>
              <w:left w:type="dxa" w:w="120"/>
              <w:bottom w:type="dxa" w:w="80"/>
              <w:right w:type="dxa" w:w="80"/>
            </w:tcMar>
          </w:tcPr>
          <w:p>
            <w:pPr>
              <w:jc w:val="center"/>
            </w:pPr>
            <w:r>
              <w:rPr>
                <w:rFonts w:ascii="Arial" w:cs="Arial" w:eastAsia="Arial" w:hAnsi="Arial"/>
                <w:b/>
                <w:bCs/>
                <w:color w:val="C9952A"/>
                <w:sz w:val="22"/>
                <w:szCs w:val="22"/>
              </w:rPr>
              <w:t xml:space="preserve">-$362.18</w:t>
            </w:r>
          </w:p>
        </w:tc>
        <w:tc>
          <w:tcPr>
            <w:tcW w:type="dxa" w:w="4160"/>
            <w:tcBorders>
              <w:top w:val="single" w:color="BBBEC8" w:sz="1"/>
              <w:left w:val="single" w:color="BBBEC8" w:sz="1"/>
              <w:bottom w:val="single" w:color="BBBEC8" w:sz="1"/>
              <w:right w:val="single" w:color="BBBEC8" w:sz="1"/>
            </w:tcBorders>
            <w:shd w:fill="EAF0F8" w:val="clear"/>
            <w:tcMar>
              <w:top w:type="dxa" w:w="80"/>
              <w:left w:type="dxa" w:w="120"/>
              <w:bottom w:type="dxa" w:w="80"/>
              <w:right w:type="dxa" w:w="80"/>
            </w:tcMar>
          </w:tcPr>
          <w:p>
            <w:r>
              <w:rPr>
                <w:rFonts w:ascii="Arial" w:cs="Arial" w:eastAsia="Arial" w:hAnsi="Arial"/>
                <w:color w:val="3A3D45"/>
                <w:sz w:val="20"/>
                <w:szCs w:val="20"/>
              </w:rPr>
              <w:t xml:space="preserve">60% smaller losses vs fixed SL approach</w:t>
            </w:r>
          </w:p>
        </w:tc>
      </w:tr>
      <w:tr>
        <w:tc>
          <w:tcPr>
            <w:tcW w:type="dxa" w:w="3200"/>
            <w:tcBorders>
              <w:top w:val="single" w:color="BBBEC8" w:sz="1"/>
              <w:left w:val="single" w:color="BBBEC8" w:sz="1"/>
              <w:bottom w:val="single" w:color="BBBEC8" w:sz="1"/>
              <w:right w:val="single" w:color="BBBEC8" w:sz="1"/>
            </w:tcBorders>
            <w:shd w:fill="F4F6FA" w:val="clear"/>
            <w:tcMar>
              <w:top w:type="dxa" w:w="80"/>
              <w:left w:type="dxa" w:w="160"/>
              <w:bottom w:type="dxa" w:w="80"/>
              <w:right w:type="dxa" w:w="80"/>
            </w:tcMar>
          </w:tcPr>
          <w:p>
            <w:r>
              <w:rPr>
                <w:rFonts w:ascii="Arial" w:cs="Arial" w:eastAsia="Arial" w:hAnsi="Arial"/>
                <w:b/>
                <w:bCs/>
                <w:color w:val="162040"/>
                <w:sz w:val="21"/>
                <w:szCs w:val="21"/>
              </w:rPr>
              <w:t xml:space="preserve">Max Consecutive Wins</w:t>
            </w:r>
          </w:p>
        </w:tc>
        <w:tc>
          <w:tcPr>
            <w:tcW w:type="dxa" w:w="2000"/>
            <w:tcBorders>
              <w:top w:val="single" w:color="BBBEC8" w:sz="1"/>
              <w:left w:val="single" w:color="BBBEC8" w:sz="1"/>
              <w:bottom w:val="single" w:color="BBBEC8" w:sz="1"/>
              <w:right w:val="single" w:color="BBBEC8" w:sz="1"/>
            </w:tcBorders>
            <w:shd w:fill="F4F6FA" w:val="clear"/>
            <w:tcMar>
              <w:top w:type="dxa" w:w="80"/>
              <w:left w:type="dxa" w:w="120"/>
              <w:bottom w:type="dxa" w:w="80"/>
              <w:right w:type="dxa" w:w="80"/>
            </w:tcMar>
          </w:tcPr>
          <w:p>
            <w:pPr>
              <w:jc w:val="center"/>
            </w:pPr>
            <w:r>
              <w:rPr>
                <w:rFonts w:ascii="Arial" w:cs="Arial" w:eastAsia="Arial" w:hAnsi="Arial"/>
                <w:b/>
                <w:bCs/>
                <w:color w:val="C9952A"/>
                <w:sz w:val="22"/>
                <w:szCs w:val="22"/>
              </w:rPr>
              <w:t xml:space="preserve">29</w:t>
            </w:r>
          </w:p>
        </w:tc>
        <w:tc>
          <w:tcPr>
            <w:tcW w:type="dxa" w:w="4160"/>
            <w:tcBorders>
              <w:top w:val="single" w:color="BBBEC8" w:sz="1"/>
              <w:left w:val="single" w:color="BBBEC8" w:sz="1"/>
              <w:bottom w:val="single" w:color="BBBEC8" w:sz="1"/>
              <w:right w:val="single" w:color="BBBEC8" w:sz="1"/>
            </w:tcBorders>
            <w:shd w:fill="F4F6FA" w:val="clear"/>
            <w:tcMar>
              <w:top w:type="dxa" w:w="80"/>
              <w:left w:type="dxa" w:w="120"/>
              <w:bottom w:type="dxa" w:w="80"/>
              <w:right w:type="dxa" w:w="80"/>
            </w:tcMar>
          </w:tcPr>
          <w:p>
            <w:r>
              <w:rPr>
                <w:rFonts w:ascii="Arial" w:cs="Arial" w:eastAsia="Arial" w:hAnsi="Arial"/>
                <w:color w:val="3A3D45"/>
                <w:sz w:val="20"/>
                <w:szCs w:val="20"/>
              </w:rPr>
              <w:t xml:space="preserve">Exceptional streak consistency</w:t>
            </w:r>
          </w:p>
        </w:tc>
      </w:tr>
      <w:tr>
        <w:tc>
          <w:tcPr>
            <w:tcW w:type="dxa" w:w="3200"/>
            <w:tcBorders>
              <w:top w:val="single" w:color="BBBEC8" w:sz="1"/>
              <w:left w:val="single" w:color="BBBEC8" w:sz="1"/>
              <w:bottom w:val="single" w:color="BBBEC8" w:sz="1"/>
              <w:right w:val="single" w:color="BBBEC8" w:sz="1"/>
            </w:tcBorders>
            <w:shd w:fill="EAF0F8" w:val="clear"/>
            <w:tcMar>
              <w:top w:type="dxa" w:w="80"/>
              <w:left w:type="dxa" w:w="160"/>
              <w:bottom w:type="dxa" w:w="80"/>
              <w:right w:type="dxa" w:w="80"/>
            </w:tcMar>
          </w:tcPr>
          <w:p>
            <w:r>
              <w:rPr>
                <w:rFonts w:ascii="Arial" w:cs="Arial" w:eastAsia="Arial" w:hAnsi="Arial"/>
                <w:b/>
                <w:bCs/>
                <w:color w:val="162040"/>
                <w:sz w:val="21"/>
                <w:szCs w:val="21"/>
              </w:rPr>
              <w:t xml:space="preserve">Max Consecutive Losses</w:t>
            </w:r>
          </w:p>
        </w:tc>
        <w:tc>
          <w:tcPr>
            <w:tcW w:type="dxa" w:w="2000"/>
            <w:tcBorders>
              <w:top w:val="single" w:color="BBBEC8" w:sz="1"/>
              <w:left w:val="single" w:color="BBBEC8" w:sz="1"/>
              <w:bottom w:val="single" w:color="BBBEC8" w:sz="1"/>
              <w:right w:val="single" w:color="BBBEC8" w:sz="1"/>
            </w:tcBorders>
            <w:shd w:fill="EAF0F8" w:val="clear"/>
            <w:tcMar>
              <w:top w:type="dxa" w:w="80"/>
              <w:left w:type="dxa" w:w="120"/>
              <w:bottom w:type="dxa" w:w="80"/>
              <w:right w:type="dxa" w:w="80"/>
            </w:tcMar>
          </w:tcPr>
          <w:p>
            <w:pPr>
              <w:jc w:val="center"/>
            </w:pPr>
            <w:r>
              <w:rPr>
                <w:rFonts w:ascii="Arial" w:cs="Arial" w:eastAsia="Arial" w:hAnsi="Arial"/>
                <w:b/>
                <w:bCs/>
                <w:color w:val="C9952A"/>
                <w:sz w:val="22"/>
                <w:szCs w:val="22"/>
              </w:rPr>
              <w:t xml:space="preserve">5</w:t>
            </w:r>
          </w:p>
        </w:tc>
        <w:tc>
          <w:tcPr>
            <w:tcW w:type="dxa" w:w="4160"/>
            <w:tcBorders>
              <w:top w:val="single" w:color="BBBEC8" w:sz="1"/>
              <w:left w:val="single" w:color="BBBEC8" w:sz="1"/>
              <w:bottom w:val="single" w:color="BBBEC8" w:sz="1"/>
              <w:right w:val="single" w:color="BBBEC8" w:sz="1"/>
            </w:tcBorders>
            <w:shd w:fill="EAF0F8" w:val="clear"/>
            <w:tcMar>
              <w:top w:type="dxa" w:w="80"/>
              <w:left w:type="dxa" w:w="120"/>
              <w:bottom w:type="dxa" w:w="80"/>
              <w:right w:type="dxa" w:w="80"/>
            </w:tcMar>
          </w:tcPr>
          <w:p>
            <w:r>
              <w:rPr>
                <w:rFonts w:ascii="Arial" w:cs="Arial" w:eastAsia="Arial" w:hAnsi="Arial"/>
                <w:color w:val="3A3D45"/>
                <w:sz w:val="20"/>
                <w:szCs w:val="20"/>
              </w:rPr>
              <w:t xml:space="preserve">Robust loss control</w:t>
            </w:r>
          </w:p>
        </w:tc>
      </w:tr>
      <w:tr>
        <w:tc>
          <w:tcPr>
            <w:tcW w:type="dxa" w:w="3200"/>
            <w:tcBorders>
              <w:top w:val="single" w:color="BBBEC8" w:sz="1"/>
              <w:left w:val="single" w:color="BBBEC8" w:sz="1"/>
              <w:bottom w:val="single" w:color="BBBEC8" w:sz="1"/>
              <w:right w:val="single" w:color="BBBEC8" w:sz="1"/>
            </w:tcBorders>
            <w:shd w:fill="F4F6FA" w:val="clear"/>
            <w:tcMar>
              <w:top w:type="dxa" w:w="80"/>
              <w:left w:type="dxa" w:w="160"/>
              <w:bottom w:type="dxa" w:w="80"/>
              <w:right w:type="dxa" w:w="80"/>
            </w:tcMar>
          </w:tcPr>
          <w:p>
            <w:r>
              <w:rPr>
                <w:rFonts w:ascii="Arial" w:cs="Arial" w:eastAsia="Arial" w:hAnsi="Arial"/>
                <w:b/>
                <w:bCs/>
                <w:color w:val="162040"/>
                <w:sz w:val="21"/>
                <w:szCs w:val="21"/>
              </w:rPr>
              <w:t xml:space="preserve">Natural Exit Win Rate</w:t>
            </w:r>
          </w:p>
        </w:tc>
        <w:tc>
          <w:tcPr>
            <w:tcW w:type="dxa" w:w="2000"/>
            <w:tcBorders>
              <w:top w:val="single" w:color="BBBEC8" w:sz="1"/>
              <w:left w:val="single" w:color="BBBEC8" w:sz="1"/>
              <w:bottom w:val="single" w:color="BBBEC8" w:sz="1"/>
              <w:right w:val="single" w:color="BBBEC8" w:sz="1"/>
            </w:tcBorders>
            <w:shd w:fill="F4F6FA" w:val="clear"/>
            <w:tcMar>
              <w:top w:type="dxa" w:w="80"/>
              <w:left w:type="dxa" w:w="120"/>
              <w:bottom w:type="dxa" w:w="80"/>
              <w:right w:type="dxa" w:w="80"/>
            </w:tcMar>
          </w:tcPr>
          <w:p>
            <w:pPr>
              <w:jc w:val="center"/>
            </w:pPr>
            <w:r>
              <w:rPr>
                <w:rFonts w:ascii="Arial" w:cs="Arial" w:eastAsia="Arial" w:hAnsi="Arial"/>
                <w:b/>
                <w:bCs/>
                <w:color w:val="C9952A"/>
                <w:sz w:val="22"/>
                <w:szCs w:val="22"/>
              </w:rPr>
              <w:t xml:space="preserve">100%</w:t>
            </w:r>
          </w:p>
        </w:tc>
        <w:tc>
          <w:tcPr>
            <w:tcW w:type="dxa" w:w="4160"/>
            <w:tcBorders>
              <w:top w:val="single" w:color="BBBEC8" w:sz="1"/>
              <w:left w:val="single" w:color="BBBEC8" w:sz="1"/>
              <w:bottom w:val="single" w:color="BBBEC8" w:sz="1"/>
              <w:right w:val="single" w:color="BBBEC8" w:sz="1"/>
            </w:tcBorders>
            <w:shd w:fill="F4F6FA" w:val="clear"/>
            <w:tcMar>
              <w:top w:type="dxa" w:w="80"/>
              <w:left w:type="dxa" w:w="120"/>
              <w:bottom w:type="dxa" w:w="80"/>
              <w:right w:type="dxa" w:w="80"/>
            </w:tcMar>
          </w:tcPr>
          <w:p>
            <w:r>
              <w:rPr>
                <w:rFonts w:ascii="Arial" w:cs="Arial" w:eastAsia="Arial" w:hAnsi="Arial"/>
                <w:color w:val="3A3D45"/>
                <w:sz w:val="20"/>
                <w:szCs w:val="20"/>
              </w:rPr>
              <w:t xml:space="preserve">Every TP/trail exit was profitable</w:t>
            </w:r>
          </w:p>
        </w:tc>
      </w:tr>
    </w:tbl>
    <w:p>
      <w:pPr>
        <w:spacing w:after="160"/>
      </w:pPr>
      <w:r>
        <w:t xml:space="preserve"/>
      </w:r>
    </w:p>
    <w:p>
      <w:pPr>
        <w:pBdr>
          <w:bottom w:val="single" w:color="C9952A" w:sz="6" w:space="1"/>
        </w:pBdr>
        <w:spacing w:before="0" w:after="0"/>
      </w:pPr>
      <w:r>
        <w:t xml:space="preserve"/>
      </w:r>
    </w:p>
    <w:p>
      <w:pPr>
        <w:spacing w:after="120"/>
      </w:pPr>
      <w:r>
        <w:t xml:space="preserve"/>
      </w:r>
    </w:p>
    <w:p>
      <w:pPr>
        <w:spacing w:before="0" w:after="120"/>
      </w:pPr>
      <w:r>
        <w:rPr>
          <w:rFonts w:ascii="Arial" w:cs="Arial" w:eastAsia="Arial" w:hAnsi="Arial"/>
          <w:b/>
          <w:bCs/>
          <w:color w:val="0F1B35"/>
          <w:sz w:val="26"/>
          <w:szCs w:val="26"/>
        </w:rPr>
        <w:t xml:space="preserve">PERFORMANCE BY DAY OF WEEK</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872"/>
        <w:gridCol w:w="1872"/>
        <w:gridCol w:w="1872"/>
        <w:gridCol w:w="1872"/>
        <w:gridCol w:w="1872"/>
      </w:tblGrid>
      <w:tr>
        <w:tc>
          <w:tcPr>
            <w:tcW w:type="dxa" w:w="1872"/>
            <w:tcBorders>
              <w:top w:val="single" w:color="BBBEC8" w:sz="1"/>
              <w:left w:val="single" w:color="BBBEC8" w:sz="1"/>
              <w:bottom w:val="single" w:color="BBBEC8" w:sz="1"/>
              <w:right w:val="single" w:color="BBBEC8" w:sz="1"/>
            </w:tcBorders>
            <w:shd w:fill="0F1B35" w:val="clear"/>
            <w:tcMar>
              <w:top w:type="dxa" w:w="80"/>
              <w:left w:type="dxa" w:w="100"/>
              <w:bottom w:type="dxa" w:w="80"/>
              <w:right w:type="dxa" w:w="100"/>
            </w:tcMar>
          </w:tcPr>
          <w:p>
            <w:pPr>
              <w:jc w:val="center"/>
            </w:pPr>
            <w:r>
              <w:rPr>
                <w:rFonts w:ascii="Arial" w:cs="Arial" w:eastAsia="Arial" w:hAnsi="Arial"/>
                <w:b/>
                <w:bCs/>
                <w:color w:val="F0C060"/>
                <w:sz w:val="20"/>
                <w:szCs w:val="20"/>
              </w:rPr>
              <w:t xml:space="preserve">Monday</w:t>
            </w:r>
          </w:p>
        </w:tc>
        <w:tc>
          <w:tcPr>
            <w:tcW w:type="dxa" w:w="1872"/>
            <w:tcBorders>
              <w:top w:val="single" w:color="BBBEC8" w:sz="1"/>
              <w:left w:val="single" w:color="BBBEC8" w:sz="1"/>
              <w:bottom w:val="single" w:color="BBBEC8" w:sz="1"/>
              <w:right w:val="single" w:color="BBBEC8" w:sz="1"/>
            </w:tcBorders>
            <w:shd w:fill="0F1B35" w:val="clear"/>
            <w:tcMar>
              <w:top w:type="dxa" w:w="80"/>
              <w:left w:type="dxa" w:w="100"/>
              <w:bottom w:type="dxa" w:w="80"/>
              <w:right w:type="dxa" w:w="100"/>
            </w:tcMar>
          </w:tcPr>
          <w:p>
            <w:pPr>
              <w:jc w:val="center"/>
            </w:pPr>
            <w:r>
              <w:rPr>
                <w:rFonts w:ascii="Arial" w:cs="Arial" w:eastAsia="Arial" w:hAnsi="Arial"/>
                <w:b/>
                <w:bCs/>
                <w:color w:val="F0C060"/>
                <w:sz w:val="20"/>
                <w:szCs w:val="20"/>
              </w:rPr>
              <w:t xml:space="preserve">Tuesday</w:t>
            </w:r>
          </w:p>
        </w:tc>
        <w:tc>
          <w:tcPr>
            <w:tcW w:type="dxa" w:w="1872"/>
            <w:tcBorders>
              <w:top w:val="single" w:color="BBBEC8" w:sz="1"/>
              <w:left w:val="single" w:color="BBBEC8" w:sz="1"/>
              <w:bottom w:val="single" w:color="BBBEC8" w:sz="1"/>
              <w:right w:val="single" w:color="BBBEC8" w:sz="1"/>
            </w:tcBorders>
            <w:shd w:fill="0F1B35" w:val="clear"/>
            <w:tcMar>
              <w:top w:type="dxa" w:w="80"/>
              <w:left w:type="dxa" w:w="100"/>
              <w:bottom w:type="dxa" w:w="80"/>
              <w:right w:type="dxa" w:w="100"/>
            </w:tcMar>
          </w:tcPr>
          <w:p>
            <w:pPr>
              <w:jc w:val="center"/>
            </w:pPr>
            <w:r>
              <w:rPr>
                <w:rFonts w:ascii="Arial" w:cs="Arial" w:eastAsia="Arial" w:hAnsi="Arial"/>
                <w:b/>
                <w:bCs/>
                <w:color w:val="F0C060"/>
                <w:sz w:val="20"/>
                <w:szCs w:val="20"/>
              </w:rPr>
              <w:t xml:space="preserve">Thursday</w:t>
            </w:r>
          </w:p>
        </w:tc>
        <w:tc>
          <w:tcPr>
            <w:tcW w:type="dxa" w:w="1872"/>
            <w:tcBorders>
              <w:top w:val="single" w:color="BBBEC8" w:sz="1"/>
              <w:left w:val="single" w:color="BBBEC8" w:sz="1"/>
              <w:bottom w:val="single" w:color="BBBEC8" w:sz="1"/>
              <w:right w:val="single" w:color="BBBEC8" w:sz="1"/>
            </w:tcBorders>
            <w:shd w:fill="0F1B35" w:val="clear"/>
            <w:tcMar>
              <w:top w:type="dxa" w:w="80"/>
              <w:left w:type="dxa" w:w="100"/>
              <w:bottom w:type="dxa" w:w="80"/>
              <w:right w:type="dxa" w:w="100"/>
            </w:tcMar>
          </w:tcPr>
          <w:p>
            <w:pPr>
              <w:jc w:val="center"/>
            </w:pPr>
            <w:r>
              <w:rPr>
                <w:rFonts w:ascii="Arial" w:cs="Arial" w:eastAsia="Arial" w:hAnsi="Arial"/>
                <w:b/>
                <w:bCs/>
                <w:color w:val="F0C060"/>
                <w:sz w:val="20"/>
                <w:szCs w:val="20"/>
              </w:rPr>
              <w:t xml:space="preserve">Friday</w:t>
            </w:r>
          </w:p>
        </w:tc>
        <w:tc>
          <w:tcPr>
            <w:tcW w:type="dxa" w:w="1872"/>
            <w:tcBorders>
              <w:top w:val="single" w:color="BBBEC8" w:sz="1"/>
              <w:left w:val="single" w:color="BBBEC8" w:sz="1"/>
              <w:bottom w:val="single" w:color="BBBEC8" w:sz="1"/>
              <w:right w:val="single" w:color="BBBEC8" w:sz="1"/>
            </w:tcBorders>
            <w:shd w:fill="0F1B35" w:val="clear"/>
            <w:tcMar>
              <w:top w:type="dxa" w:w="80"/>
              <w:left w:type="dxa" w:w="100"/>
              <w:bottom w:type="dxa" w:w="80"/>
              <w:right w:type="dxa" w:w="100"/>
            </w:tcMar>
          </w:tcPr>
          <w:p>
            <w:pPr>
              <w:jc w:val="center"/>
            </w:pPr>
            <w:r>
              <w:rPr>
                <w:rFonts w:ascii="Arial" w:cs="Arial" w:eastAsia="Arial" w:hAnsi="Arial"/>
                <w:b/>
                <w:bCs/>
                <w:color w:val="F0C060"/>
                <w:sz w:val="20"/>
                <w:szCs w:val="20"/>
              </w:rPr>
              <w:t xml:space="preserve">Short trades</w:t>
            </w:r>
          </w:p>
        </w:tc>
      </w:tr>
      <w:tr>
        <w:tc>
          <w:tcPr>
            <w:tcW w:type="dxa" w:w="1872"/>
            <w:tcBorders>
              <w:top w:val="single" w:color="BBBEC8" w:sz="1"/>
              <w:left w:val="single" w:color="BBBEC8" w:sz="1"/>
              <w:bottom w:val="single" w:color="BBBEC8" w:sz="1"/>
              <w:right w:val="single" w:color="BBBEC8" w:sz="1"/>
            </w:tcBorders>
            <w:shd w:fill="EAF0F8" w:val="clear"/>
            <w:tcMar>
              <w:top w:type="dxa" w:w="100"/>
              <w:left w:type="dxa" w:w="100"/>
              <w:bottom w:type="dxa" w:w="100"/>
              <w:right w:type="dxa" w:w="100"/>
            </w:tcMar>
          </w:tcPr>
          <w:p>
            <w:pPr>
              <w:jc w:val="center"/>
            </w:pPr>
            <w:r>
              <w:rPr>
                <w:rFonts w:ascii="Arial" w:cs="Arial" w:eastAsia="Arial" w:hAnsi="Arial"/>
                <w:b/>
                <w:bCs/>
                <w:color w:val="C9952A"/>
                <w:sz w:val="22"/>
                <w:szCs w:val="22"/>
              </w:rPr>
              <w:t xml:space="preserve">+$3,729</w:t>
            </w:r>
          </w:p>
          <w:p>
            <w:pPr>
              <w:jc w:val="center"/>
            </w:pPr>
            <w:r>
              <w:rPr>
                <w:rFonts w:ascii="Arial" w:cs="Arial" w:eastAsia="Arial" w:hAnsi="Arial"/>
                <w:color w:val="3A3D45"/>
                <w:sz w:val="18"/>
                <w:szCs w:val="18"/>
              </w:rPr>
              <w:t xml:space="preserve">81.4% WR</w:t>
            </w:r>
          </w:p>
        </w:tc>
        <w:tc>
          <w:tcPr>
            <w:tcW w:type="dxa" w:w="1872"/>
            <w:tcBorders>
              <w:top w:val="single" w:color="BBBEC8" w:sz="1"/>
              <w:left w:val="single" w:color="BBBEC8" w:sz="1"/>
              <w:bottom w:val="single" w:color="BBBEC8" w:sz="1"/>
              <w:right w:val="single" w:color="BBBEC8" w:sz="1"/>
            </w:tcBorders>
            <w:shd w:fill="F4F6FA" w:val="clear"/>
            <w:tcMar>
              <w:top w:type="dxa" w:w="100"/>
              <w:left w:type="dxa" w:w="100"/>
              <w:bottom w:type="dxa" w:w="100"/>
              <w:right w:type="dxa" w:w="100"/>
            </w:tcMar>
          </w:tcPr>
          <w:p>
            <w:pPr>
              <w:jc w:val="center"/>
            </w:pPr>
            <w:r>
              <w:rPr>
                <w:rFonts w:ascii="Arial" w:cs="Arial" w:eastAsia="Arial" w:hAnsi="Arial"/>
                <w:b/>
                <w:bCs/>
                <w:color w:val="C9952A"/>
                <w:sz w:val="22"/>
                <w:szCs w:val="22"/>
              </w:rPr>
              <w:t xml:space="preserve">+$6,918</w:t>
            </w:r>
          </w:p>
          <w:p>
            <w:pPr>
              <w:jc w:val="center"/>
            </w:pPr>
            <w:r>
              <w:rPr>
                <w:rFonts w:ascii="Arial" w:cs="Arial" w:eastAsia="Arial" w:hAnsi="Arial"/>
                <w:color w:val="3A3D45"/>
                <w:sz w:val="18"/>
                <w:szCs w:val="18"/>
              </w:rPr>
              <w:t xml:space="preserve">80.7% WR</w:t>
            </w:r>
          </w:p>
        </w:tc>
        <w:tc>
          <w:tcPr>
            <w:tcW w:type="dxa" w:w="1872"/>
            <w:tcBorders>
              <w:top w:val="single" w:color="BBBEC8" w:sz="1"/>
              <w:left w:val="single" w:color="BBBEC8" w:sz="1"/>
              <w:bottom w:val="single" w:color="BBBEC8" w:sz="1"/>
              <w:right w:val="single" w:color="BBBEC8" w:sz="1"/>
            </w:tcBorders>
            <w:shd w:fill="EAF0F8" w:val="clear"/>
            <w:tcMar>
              <w:top w:type="dxa" w:w="100"/>
              <w:left w:type="dxa" w:w="100"/>
              <w:bottom w:type="dxa" w:w="100"/>
              <w:right w:type="dxa" w:w="100"/>
            </w:tcMar>
          </w:tcPr>
          <w:p>
            <w:pPr>
              <w:jc w:val="center"/>
            </w:pPr>
            <w:r>
              <w:rPr>
                <w:rFonts w:ascii="Arial" w:cs="Arial" w:eastAsia="Arial" w:hAnsi="Arial"/>
                <w:b/>
                <w:bCs/>
                <w:color w:val="C9952A"/>
                <w:sz w:val="22"/>
                <w:szCs w:val="22"/>
              </w:rPr>
              <w:t xml:space="preserve">+$2,841</w:t>
            </w:r>
          </w:p>
          <w:p>
            <w:pPr>
              <w:jc w:val="center"/>
            </w:pPr>
            <w:r>
              <w:rPr>
                <w:rFonts w:ascii="Arial" w:cs="Arial" w:eastAsia="Arial" w:hAnsi="Arial"/>
                <w:color w:val="3A3D45"/>
                <w:sz w:val="18"/>
                <w:szCs w:val="18"/>
              </w:rPr>
              <w:t xml:space="preserve">81.5% WR</w:t>
            </w:r>
          </w:p>
        </w:tc>
        <w:tc>
          <w:tcPr>
            <w:tcW w:type="dxa" w:w="1872"/>
            <w:tcBorders>
              <w:top w:val="single" w:color="BBBEC8" w:sz="1"/>
              <w:left w:val="single" w:color="BBBEC8" w:sz="1"/>
              <w:bottom w:val="single" w:color="BBBEC8" w:sz="1"/>
              <w:right w:val="single" w:color="BBBEC8" w:sz="1"/>
            </w:tcBorders>
            <w:shd w:fill="F4F6FA" w:val="clear"/>
            <w:tcMar>
              <w:top w:type="dxa" w:w="100"/>
              <w:left w:type="dxa" w:w="100"/>
              <w:bottom w:type="dxa" w:w="100"/>
              <w:right w:type="dxa" w:w="100"/>
            </w:tcMar>
          </w:tcPr>
          <w:p>
            <w:pPr>
              <w:jc w:val="center"/>
            </w:pPr>
            <w:r>
              <w:rPr>
                <w:rFonts w:ascii="Arial" w:cs="Arial" w:eastAsia="Arial" w:hAnsi="Arial"/>
                <w:b/>
                <w:bCs/>
                <w:color w:val="C9952A"/>
                <w:sz w:val="22"/>
                <w:szCs w:val="22"/>
              </w:rPr>
              <w:t xml:space="preserve">+$4,974</w:t>
            </w:r>
          </w:p>
          <w:p>
            <w:pPr>
              <w:jc w:val="center"/>
            </w:pPr>
            <w:r>
              <w:rPr>
                <w:rFonts w:ascii="Arial" w:cs="Arial" w:eastAsia="Arial" w:hAnsi="Arial"/>
                <w:color w:val="3A3D45"/>
                <w:sz w:val="18"/>
                <w:szCs w:val="18"/>
              </w:rPr>
              <w:t xml:space="preserve">80.7% WR</w:t>
            </w:r>
          </w:p>
        </w:tc>
        <w:tc>
          <w:tcPr>
            <w:tcW w:type="dxa" w:w="1872"/>
            <w:tcBorders>
              <w:top w:val="single" w:color="BBBEC8" w:sz="1"/>
              <w:left w:val="single" w:color="BBBEC8" w:sz="1"/>
              <w:bottom w:val="single" w:color="BBBEC8" w:sz="1"/>
              <w:right w:val="single" w:color="BBBEC8" w:sz="1"/>
            </w:tcBorders>
            <w:shd w:fill="EAF0F8" w:val="clear"/>
            <w:tcMar>
              <w:top w:type="dxa" w:w="100"/>
              <w:left w:type="dxa" w:w="100"/>
              <w:bottom w:type="dxa" w:w="100"/>
              <w:right w:type="dxa" w:w="100"/>
            </w:tcMar>
          </w:tcPr>
          <w:p>
            <w:pPr>
              <w:jc w:val="center"/>
            </w:pPr>
            <w:r>
              <w:rPr>
                <w:rFonts w:ascii="Arial" w:cs="Arial" w:eastAsia="Arial" w:hAnsi="Arial"/>
                <w:b/>
                <w:bCs/>
                <w:color w:val="C9952A"/>
                <w:sz w:val="22"/>
                <w:szCs w:val="22"/>
              </w:rPr>
              <w:t xml:space="preserve">+$12,732</w:t>
            </w:r>
          </w:p>
          <w:p>
            <w:pPr>
              <w:jc w:val="center"/>
            </w:pPr>
            <w:r>
              <w:rPr>
                <w:rFonts w:ascii="Arial" w:cs="Arial" w:eastAsia="Arial" w:hAnsi="Arial"/>
                <w:color w:val="3A3D45"/>
                <w:sz w:val="18"/>
                <w:szCs w:val="18"/>
              </w:rPr>
              <w:t xml:space="preserve">81.6% WR</w:t>
            </w:r>
          </w:p>
        </w:tc>
      </w:tr>
    </w:tbl>
    <w:p>
      <w:pPr>
        <w:spacing w:after="1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left w:val="single" w:color="C9952A" w:sz="8"/>
              <w:bottom w:val="none"/>
              <w:right w:val="none"/>
            </w:tcBorders>
            <w:shd w:fill="EAF0F8" w:val="clear"/>
            <w:tcMar>
              <w:top w:type="dxa" w:w="120"/>
              <w:left w:type="dxa" w:w="200"/>
              <w:bottom w:type="dxa" w:w="120"/>
              <w:right w:type="dxa" w:w="160"/>
            </w:tcMar>
          </w:tcPr>
          <w:p>
            <w:pPr>
              <w:spacing w:after="60"/>
            </w:pPr>
            <w:r>
              <w:rPr>
                <w:rFonts w:ascii="Arial" w:cs="Arial" w:eastAsia="Arial" w:hAnsi="Arial"/>
                <w:b/>
                <w:bCs/>
                <w:color w:val="0F1B35"/>
                <w:sz w:val="22"/>
                <w:szCs w:val="22"/>
              </w:rPr>
              <w:t xml:space="preserve">The Natural Exit Finding</w:t>
            </w:r>
          </w:p>
          <w:p>
            <w:pPr>
              <w:spacing w:after="0"/>
            </w:pPr>
            <w:r>
              <w:rPr>
                <w:rFonts w:ascii="Arial" w:cs="Arial" w:eastAsia="Arial" w:hAnsi="Arial"/>
                <w:color w:val="3A3D45"/>
                <w:sz w:val="21"/>
                <w:szCs w:val="21"/>
              </w:rPr>
              <w:t xml:space="preserve">When Oracle exits a trade naturally — through its take profit or trailing stop — the win rate is 100%. Every single trade that completed its intended journey was profitable. This validates the entry logic entirely. The only source of losses in the strategy are trades that take too long and are closed by the max duration timer — which the Partial Close feature directly addresses.</w:t>
            </w:r>
          </w:p>
        </w:tc>
      </w:tr>
    </w:tbl>
    <w:p>
      <w:pPr>
        <w:spacing w:after="200"/>
      </w:pPr>
      <w:r>
        <w:t xml:space="preserve"/>
      </w:r>
    </w:p>
    <w:p>
      <w:r>
        <w:br w:type="page"/>
      </w:r>
    </w:p>
    <w:p>
      <w:pPr>
        <w:spacing w:after="80"/>
      </w:pPr>
      <w:r>
        <w:t xml:space="preserve"/>
      </w:r>
    </w:p>
    <w:p>
      <w:pPr>
        <w:spacing w:before="0" w:after="0"/>
      </w:pPr>
      <w:r>
        <w:rPr>
          <w:rFonts w:ascii="Arial" w:cs="Arial" w:eastAsia="Arial" w:hAnsi="Arial"/>
          <w:b/>
          <w:bCs/>
          <w:color w:val="0F1B35"/>
          <w:sz w:val="40"/>
          <w:szCs w:val="40"/>
        </w:rPr>
        <w:t xml:space="preserve">THE ORACLE DASHBOARD</w:t>
      </w:r>
    </w:p>
    <w:p>
      <w:pPr>
        <w:pBdr>
          <w:bottom w:val="single" w:color="1CB8A0" w:sz="3" w:space="1"/>
        </w:pBdr>
        <w:spacing w:before="0" w:after="0"/>
      </w:pPr>
      <w:r>
        <w:t xml:space="preserve"/>
      </w:r>
    </w:p>
    <w:p>
      <w:pPr>
        <w:spacing w:after="120"/>
      </w:pPr>
      <w:r>
        <w:t xml:space="preserve"/>
      </w:r>
    </w:p>
    <w:p>
      <w:pPr>
        <w:spacing w:before="80" w:after="100"/>
      </w:pPr>
      <w:r>
        <w:rPr>
          <w:rFonts w:ascii="Arial" w:cs="Arial" w:eastAsia="Arial" w:hAnsi="Arial"/>
          <w:color w:val="3A3D45"/>
          <w:sz w:val="22"/>
          <w:szCs w:val="22"/>
        </w:rPr>
        <w:t xml:space="preserve">Oracle displays two live tables directly on your chart, giving you a complete trading performance snapshot without leaving TradingView.</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left w:val="single" w:color="C9952A" w:sz="8"/>
              <w:bottom w:val="none"/>
              <w:right w:val="none"/>
            </w:tcBorders>
            <w:shd w:fill="EAF0F8" w:val="clear"/>
            <w:tcMar>
              <w:top w:type="dxa" w:w="120"/>
              <w:left w:type="dxa" w:w="200"/>
              <w:bottom w:type="dxa" w:w="120"/>
              <w:right w:type="dxa" w:w="160"/>
            </w:tcMar>
          </w:tcPr>
          <w:p>
            <w:pPr>
              <w:spacing w:after="60"/>
            </w:pPr>
            <w:r>
              <w:rPr>
                <w:rFonts w:ascii="Arial" w:cs="Arial" w:eastAsia="Arial" w:hAnsi="Arial"/>
                <w:b/>
                <w:bCs/>
                <w:color w:val="0F1B35"/>
                <w:sz w:val="22"/>
                <w:szCs w:val="22"/>
              </w:rPr>
              <w:t xml:space="preserve">Last 10 Trades Table</w:t>
            </w:r>
          </w:p>
          <w:p>
            <w:pPr>
              <w:spacing w:after="0"/>
            </w:pPr>
            <w:r>
              <w:rPr>
                <w:rFonts w:ascii="Arial" w:cs="Arial" w:eastAsia="Arial" w:hAnsi="Arial"/>
                <w:color w:val="3A3D45"/>
                <w:sz w:val="21"/>
                <w:szCs w:val="21"/>
              </w:rPr>
              <w:t xml:space="preserve">Shows your 10 most recent closed trades for the week — trade number, Win/Loss, individual P&amp;L, and running cumulative P&amp;L. The footer shows today's Day P&amp;L, this week's win rate, and whether trading is currently active or halted. Resets every Monday. Fully repositionable with four text size options.</w:t>
            </w:r>
          </w:p>
        </w:tc>
      </w:tr>
    </w:tbl>
    <w:p>
      <w:pPr>
        <w:spacing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left w:val="single" w:color="C9952A" w:sz="8"/>
              <w:bottom w:val="none"/>
              <w:right w:val="none"/>
            </w:tcBorders>
            <w:shd w:fill="EAF0F8" w:val="clear"/>
            <w:tcMar>
              <w:top w:type="dxa" w:w="120"/>
              <w:left w:type="dxa" w:w="200"/>
              <w:bottom w:type="dxa" w:w="120"/>
              <w:right w:type="dxa" w:w="160"/>
            </w:tcMar>
          </w:tcPr>
          <w:p>
            <w:pPr>
              <w:spacing w:after="60"/>
            </w:pPr>
            <w:r>
              <w:rPr>
                <w:rFonts w:ascii="Arial" w:cs="Arial" w:eastAsia="Arial" w:hAnsi="Arial"/>
                <w:b/>
                <w:bCs/>
                <w:color w:val="0F1B35"/>
                <w:sz w:val="22"/>
                <w:szCs w:val="22"/>
              </w:rPr>
              <w:t xml:space="preserve">Session &amp; Weekly Summary Table</w:t>
            </w:r>
          </w:p>
          <w:p>
            <w:pPr>
              <w:spacing w:after="0"/>
            </w:pPr>
            <w:r>
              <w:rPr>
                <w:rFonts w:ascii="Arial" w:cs="Arial" w:eastAsia="Arial" w:hAnsi="Arial"/>
                <w:color w:val="3A3D45"/>
                <w:sz w:val="21"/>
                <w:szCs w:val="21"/>
              </w:rPr>
              <w:t xml:space="preserve">The master dashboard. A colour-coded bot status banner at the top shows Oracle's current state at a glance (active, in trade, target hit, loss limit, blackout, session stopped, re-entry block, day off). Below that: London and NY session P&amp;L with trade counts, weekly P&amp;L and target progress, monthly P&amp;L tracker, live R:R ratio, and current win/loss streak counter.</w:t>
            </w:r>
          </w:p>
        </w:tc>
      </w:tr>
    </w:tbl>
    <w:p>
      <w:pPr>
        <w:spacing w:after="160"/>
      </w:pPr>
      <w:r>
        <w:t xml:space="preserve"/>
      </w:r>
    </w:p>
    <w:p>
      <w:pPr>
        <w:pBdr>
          <w:bottom w:val="single" w:color="C9952A" w:sz="6" w:space="1"/>
        </w:pBdr>
        <w:spacing w:before="0" w:after="0"/>
      </w:pPr>
      <w:r>
        <w:t xml:space="preserve"/>
      </w:r>
    </w:p>
    <w:p>
      <w:pPr>
        <w:spacing w:after="120"/>
      </w:pPr>
      <w:r>
        <w:t xml:space="preserve"/>
      </w:r>
    </w:p>
    <w:p>
      <w:pPr>
        <w:spacing w:before="0" w:after="120"/>
      </w:pPr>
      <w:r>
        <w:rPr>
          <w:rFonts w:ascii="Arial" w:cs="Arial" w:eastAsia="Arial" w:hAnsi="Arial"/>
          <w:b/>
          <w:bCs/>
          <w:color w:val="0F1B35"/>
          <w:sz w:val="26"/>
          <w:szCs w:val="26"/>
        </w:rPr>
        <w:t xml:space="preserve">BOT STATUS AT A GLANCE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120"/>
        <w:gridCol w:w="6240"/>
      </w:tblGrid>
      <w:tr>
        <w:tc>
          <w:tcPr>
            <w:tcW w:type="dxa" w:w="3120"/>
            <w:tcBorders>
              <w:top w:val="single" w:color="BBBEC8" w:sz="1"/>
              <w:left w:val="single" w:color="BBBEC8" w:sz="1"/>
              <w:bottom w:val="single" w:color="BBBEC8" w:sz="1"/>
              <w:right w:val="single" w:color="BBBEC8" w:sz="1"/>
            </w:tcBorders>
            <w:shd w:fill="F4F6FA" w:val="clear"/>
            <w:tcMar>
              <w:top w:type="dxa" w:w="80"/>
              <w:left w:type="dxa" w:w="120"/>
              <w:bottom w:type="dxa" w:w="80"/>
              <w:right w:type="dxa" w:w="80"/>
            </w:tcMar>
          </w:tcPr>
          <w:p>
            <w:r>
              <w:rPr>
                <w:rFonts w:ascii="Arial" w:cs="Arial" w:eastAsia="Arial" w:hAnsi="Arial"/>
                <w:b/>
                <w:bCs/>
                <w:color w:val="162040"/>
                <w:sz w:val="20"/>
                <w:szCs w:val="20"/>
              </w:rPr>
              <w:t xml:space="preserve">Green — Bot Active</w:t>
            </w:r>
          </w:p>
        </w:tc>
        <w:tc>
          <w:tcPr>
            <w:tcW w:type="dxa" w:w="6240"/>
            <w:tcBorders>
              <w:top w:val="single" w:color="BBBEC8" w:sz="1"/>
              <w:left w:val="single" w:color="BBBEC8" w:sz="1"/>
              <w:bottom w:val="single" w:color="BBBEC8" w:sz="1"/>
              <w:right w:val="single" w:color="BBBEC8" w:sz="1"/>
            </w:tcBorders>
            <w:shd w:fill="F4F6FA" w:val="clear"/>
            <w:tcMar>
              <w:top w:type="dxa" w:w="80"/>
              <w:left w:type="dxa" w:w="120"/>
              <w:bottom w:type="dxa" w:w="80"/>
              <w:right w:type="dxa" w:w="80"/>
            </w:tcMar>
          </w:tcPr>
          <w:p>
            <w:r>
              <w:rPr>
                <w:rFonts w:ascii="Arial" w:cs="Arial" w:eastAsia="Arial" w:hAnsi="Arial"/>
                <w:color w:val="3A3D45"/>
                <w:sz w:val="20"/>
                <w:szCs w:val="20"/>
              </w:rPr>
              <w:t xml:space="preserve">Oracle is scanning for entries. All conditions clear.</w:t>
            </w:r>
          </w:p>
        </w:tc>
      </w:tr>
      <w:tr>
        <w:tc>
          <w:tcPr>
            <w:tcW w:type="dxa" w:w="3120"/>
            <w:tcBorders>
              <w:top w:val="single" w:color="BBBEC8" w:sz="1"/>
              <w:left w:val="single" w:color="BBBEC8" w:sz="1"/>
              <w:bottom w:val="single" w:color="BBBEC8" w:sz="1"/>
              <w:right w:val="single" w:color="BBBEC8" w:sz="1"/>
            </w:tcBorders>
            <w:shd w:fill="EAF0F8" w:val="clear"/>
            <w:tcMar>
              <w:top w:type="dxa" w:w="80"/>
              <w:left w:type="dxa" w:w="120"/>
              <w:bottom w:type="dxa" w:w="80"/>
              <w:right w:type="dxa" w:w="80"/>
            </w:tcMar>
          </w:tcPr>
          <w:p>
            <w:r>
              <w:rPr>
                <w:rFonts w:ascii="Arial" w:cs="Arial" w:eastAsia="Arial" w:hAnsi="Arial"/>
                <w:b/>
                <w:bCs/>
                <w:color w:val="162040"/>
                <w:sz w:val="20"/>
                <w:szCs w:val="20"/>
              </w:rPr>
              <w:t xml:space="preserve">Blue — In a Trade</w:t>
            </w:r>
          </w:p>
        </w:tc>
        <w:tc>
          <w:tcPr>
            <w:tcW w:type="dxa" w:w="6240"/>
            <w:tcBorders>
              <w:top w:val="single" w:color="BBBEC8" w:sz="1"/>
              <w:left w:val="single" w:color="BBBEC8" w:sz="1"/>
              <w:bottom w:val="single" w:color="BBBEC8" w:sz="1"/>
              <w:right w:val="single" w:color="BBBEC8" w:sz="1"/>
            </w:tcBorders>
            <w:shd w:fill="EAF0F8" w:val="clear"/>
            <w:tcMar>
              <w:top w:type="dxa" w:w="80"/>
              <w:left w:type="dxa" w:w="120"/>
              <w:bottom w:type="dxa" w:w="80"/>
              <w:right w:type="dxa" w:w="80"/>
            </w:tcMar>
          </w:tcPr>
          <w:p>
            <w:r>
              <w:rPr>
                <w:rFonts w:ascii="Arial" w:cs="Arial" w:eastAsia="Arial" w:hAnsi="Arial"/>
                <w:color w:val="3A3D45"/>
                <w:sz w:val="20"/>
                <w:szCs w:val="20"/>
              </w:rPr>
              <w:t xml:space="preserve">A position is currently open. Showing Long or Short.</w:t>
            </w:r>
          </w:p>
        </w:tc>
      </w:tr>
      <w:tr>
        <w:tc>
          <w:tcPr>
            <w:tcW w:type="dxa" w:w="3120"/>
            <w:tcBorders>
              <w:top w:val="single" w:color="BBBEC8" w:sz="1"/>
              <w:left w:val="single" w:color="BBBEC8" w:sz="1"/>
              <w:bottom w:val="single" w:color="BBBEC8" w:sz="1"/>
              <w:right w:val="single" w:color="BBBEC8" w:sz="1"/>
            </w:tcBorders>
            <w:shd w:fill="F4F6FA" w:val="clear"/>
            <w:tcMar>
              <w:top w:type="dxa" w:w="80"/>
              <w:left w:type="dxa" w:w="120"/>
              <w:bottom w:type="dxa" w:w="80"/>
              <w:right w:type="dxa" w:w="80"/>
            </w:tcMar>
          </w:tcPr>
          <w:p>
            <w:r>
              <w:rPr>
                <w:rFonts w:ascii="Arial" w:cs="Arial" w:eastAsia="Arial" w:hAnsi="Arial"/>
                <w:b/>
                <w:bCs/>
                <w:color w:val="162040"/>
                <w:sz w:val="20"/>
                <w:szCs w:val="20"/>
              </w:rPr>
              <w:t xml:space="preserve">Teal — Target Hit</w:t>
            </w:r>
          </w:p>
        </w:tc>
        <w:tc>
          <w:tcPr>
            <w:tcW w:type="dxa" w:w="6240"/>
            <w:tcBorders>
              <w:top w:val="single" w:color="BBBEC8" w:sz="1"/>
              <w:left w:val="single" w:color="BBBEC8" w:sz="1"/>
              <w:bottom w:val="single" w:color="BBBEC8" w:sz="1"/>
              <w:right w:val="single" w:color="BBBEC8" w:sz="1"/>
            </w:tcBorders>
            <w:shd w:fill="F4F6FA" w:val="clear"/>
            <w:tcMar>
              <w:top w:type="dxa" w:w="80"/>
              <w:left w:type="dxa" w:w="120"/>
              <w:bottom w:type="dxa" w:w="80"/>
              <w:right w:type="dxa" w:w="80"/>
            </w:tcMar>
          </w:tcPr>
          <w:p>
            <w:r>
              <w:rPr>
                <w:rFonts w:ascii="Arial" w:cs="Arial" w:eastAsia="Arial" w:hAnsi="Arial"/>
                <w:color w:val="3A3D45"/>
                <w:sz w:val="20"/>
                <w:szCs w:val="20"/>
              </w:rPr>
              <w:t xml:space="preserve">Daily or weekly profit target reached. No more trades today/this week.</w:t>
            </w:r>
          </w:p>
        </w:tc>
      </w:tr>
      <w:tr>
        <w:tc>
          <w:tcPr>
            <w:tcW w:type="dxa" w:w="3120"/>
            <w:tcBorders>
              <w:top w:val="single" w:color="BBBEC8" w:sz="1"/>
              <w:left w:val="single" w:color="BBBEC8" w:sz="1"/>
              <w:bottom w:val="single" w:color="BBBEC8" w:sz="1"/>
              <w:right w:val="single" w:color="BBBEC8" w:sz="1"/>
            </w:tcBorders>
            <w:shd w:fill="EAF0F8" w:val="clear"/>
            <w:tcMar>
              <w:top w:type="dxa" w:w="80"/>
              <w:left w:type="dxa" w:w="120"/>
              <w:bottom w:type="dxa" w:w="80"/>
              <w:right w:type="dxa" w:w="80"/>
            </w:tcMar>
          </w:tcPr>
          <w:p>
            <w:r>
              <w:rPr>
                <w:rFonts w:ascii="Arial" w:cs="Arial" w:eastAsia="Arial" w:hAnsi="Arial"/>
                <w:b/>
                <w:bCs/>
                <w:color w:val="162040"/>
                <w:sz w:val="20"/>
                <w:szCs w:val="20"/>
              </w:rPr>
              <w:t xml:space="preserve">Dark Red — Loss Limit</w:t>
            </w:r>
          </w:p>
        </w:tc>
        <w:tc>
          <w:tcPr>
            <w:tcW w:type="dxa" w:w="6240"/>
            <w:tcBorders>
              <w:top w:val="single" w:color="BBBEC8" w:sz="1"/>
              <w:left w:val="single" w:color="BBBEC8" w:sz="1"/>
              <w:bottom w:val="single" w:color="BBBEC8" w:sz="1"/>
              <w:right w:val="single" w:color="BBBEC8" w:sz="1"/>
            </w:tcBorders>
            <w:shd w:fill="EAF0F8" w:val="clear"/>
            <w:tcMar>
              <w:top w:type="dxa" w:w="80"/>
              <w:left w:type="dxa" w:w="120"/>
              <w:bottom w:type="dxa" w:w="80"/>
              <w:right w:type="dxa" w:w="80"/>
            </w:tcMar>
          </w:tcPr>
          <w:p>
            <w:r>
              <w:rPr>
                <w:rFonts w:ascii="Arial" w:cs="Arial" w:eastAsia="Arial" w:hAnsi="Arial"/>
                <w:color w:val="3A3D45"/>
                <w:sz w:val="20"/>
                <w:szCs w:val="20"/>
              </w:rPr>
              <w:t xml:space="preserve">Daily loss limit or session limit hit. Trading halted.</w:t>
            </w:r>
          </w:p>
        </w:tc>
      </w:tr>
      <w:tr>
        <w:tc>
          <w:tcPr>
            <w:tcW w:type="dxa" w:w="3120"/>
            <w:tcBorders>
              <w:top w:val="single" w:color="BBBEC8" w:sz="1"/>
              <w:left w:val="single" w:color="BBBEC8" w:sz="1"/>
              <w:bottom w:val="single" w:color="BBBEC8" w:sz="1"/>
              <w:right w:val="single" w:color="BBBEC8" w:sz="1"/>
            </w:tcBorders>
            <w:shd w:fill="F4F6FA" w:val="clear"/>
            <w:tcMar>
              <w:top w:type="dxa" w:w="80"/>
              <w:left w:type="dxa" w:w="120"/>
              <w:bottom w:type="dxa" w:w="80"/>
              <w:right w:type="dxa" w:w="80"/>
            </w:tcMar>
          </w:tcPr>
          <w:p>
            <w:r>
              <w:rPr>
                <w:rFonts w:ascii="Arial" w:cs="Arial" w:eastAsia="Arial" w:hAnsi="Arial"/>
                <w:b/>
                <w:bCs/>
                <w:color w:val="162040"/>
                <w:sz w:val="20"/>
                <w:szCs w:val="20"/>
              </w:rPr>
              <w:t xml:space="preserve">Purple — Blackout/News</w:t>
            </w:r>
          </w:p>
        </w:tc>
        <w:tc>
          <w:tcPr>
            <w:tcW w:type="dxa" w:w="6240"/>
            <w:tcBorders>
              <w:top w:val="single" w:color="BBBEC8" w:sz="1"/>
              <w:left w:val="single" w:color="BBBEC8" w:sz="1"/>
              <w:bottom w:val="single" w:color="BBBEC8" w:sz="1"/>
              <w:right w:val="single" w:color="BBBEC8" w:sz="1"/>
            </w:tcBorders>
            <w:shd w:fill="F4F6FA" w:val="clear"/>
            <w:tcMar>
              <w:top w:type="dxa" w:w="80"/>
              <w:left w:type="dxa" w:w="120"/>
              <w:bottom w:type="dxa" w:w="80"/>
              <w:right w:type="dxa" w:w="80"/>
            </w:tcMar>
          </w:tcPr>
          <w:p>
            <w:r>
              <w:rPr>
                <w:rFonts w:ascii="Arial" w:cs="Arial" w:eastAsia="Arial" w:hAnsi="Arial"/>
                <w:color w:val="3A3D45"/>
                <w:sz w:val="20"/>
                <w:szCs w:val="20"/>
              </w:rPr>
              <w:t xml:space="preserve">Inside a blackout window or news event buffer. No entries.</w:t>
            </w:r>
          </w:p>
        </w:tc>
      </w:tr>
      <w:tr>
        <w:tc>
          <w:tcPr>
            <w:tcW w:type="dxa" w:w="3120"/>
            <w:tcBorders>
              <w:top w:val="single" w:color="BBBEC8" w:sz="1"/>
              <w:left w:val="single" w:color="BBBEC8" w:sz="1"/>
              <w:bottom w:val="single" w:color="BBBEC8" w:sz="1"/>
              <w:right w:val="single" w:color="BBBEC8" w:sz="1"/>
            </w:tcBorders>
            <w:shd w:fill="EAF0F8" w:val="clear"/>
            <w:tcMar>
              <w:top w:type="dxa" w:w="80"/>
              <w:left w:type="dxa" w:w="120"/>
              <w:bottom w:type="dxa" w:w="80"/>
              <w:right w:type="dxa" w:w="80"/>
            </w:tcMar>
          </w:tcPr>
          <w:p>
            <w:r>
              <w:rPr>
                <w:rFonts w:ascii="Arial" w:cs="Arial" w:eastAsia="Arial" w:hAnsi="Arial"/>
                <w:b/>
                <w:bCs/>
                <w:color w:val="162040"/>
                <w:sz w:val="20"/>
                <w:szCs w:val="20"/>
              </w:rPr>
              <w:t xml:space="preserve">Orange — Re-entry Block</w:t>
            </w:r>
          </w:p>
        </w:tc>
        <w:tc>
          <w:tcPr>
            <w:tcW w:type="dxa" w:w="6240"/>
            <w:tcBorders>
              <w:top w:val="single" w:color="BBBEC8" w:sz="1"/>
              <w:left w:val="single" w:color="BBBEC8" w:sz="1"/>
              <w:bottom w:val="single" w:color="BBBEC8" w:sz="1"/>
              <w:right w:val="single" w:color="BBBEC8" w:sz="1"/>
            </w:tcBorders>
            <w:shd w:fill="EAF0F8" w:val="clear"/>
            <w:tcMar>
              <w:top w:type="dxa" w:w="80"/>
              <w:left w:type="dxa" w:w="120"/>
              <w:bottom w:type="dxa" w:w="80"/>
              <w:right w:type="dxa" w:w="80"/>
            </w:tcMar>
          </w:tcPr>
          <w:p>
            <w:r>
              <w:rPr>
                <w:rFonts w:ascii="Arial" w:cs="Arial" w:eastAsia="Arial" w:hAnsi="Arial"/>
                <w:color w:val="3A3D45"/>
                <w:sz w:val="20"/>
                <w:szCs w:val="20"/>
              </w:rPr>
              <w:t xml:space="preserve">Cooling off after a loss. Entries resume after the set wait period.</w:t>
            </w:r>
          </w:p>
        </w:tc>
      </w:tr>
      <w:tr>
        <w:tc>
          <w:tcPr>
            <w:tcW w:type="dxa" w:w="3120"/>
            <w:tcBorders>
              <w:top w:val="single" w:color="BBBEC8" w:sz="1"/>
              <w:left w:val="single" w:color="BBBEC8" w:sz="1"/>
              <w:bottom w:val="single" w:color="BBBEC8" w:sz="1"/>
              <w:right w:val="single" w:color="BBBEC8" w:sz="1"/>
            </w:tcBorders>
            <w:shd w:fill="F4F6FA" w:val="clear"/>
            <w:tcMar>
              <w:top w:type="dxa" w:w="80"/>
              <w:left w:type="dxa" w:w="120"/>
              <w:bottom w:type="dxa" w:w="80"/>
              <w:right w:type="dxa" w:w="80"/>
            </w:tcMar>
          </w:tcPr>
          <w:p>
            <w:r>
              <w:rPr>
                <w:rFonts w:ascii="Arial" w:cs="Arial" w:eastAsia="Arial" w:hAnsi="Arial"/>
                <w:b/>
                <w:bCs/>
                <w:color w:val="162040"/>
                <w:sz w:val="20"/>
                <w:szCs w:val="20"/>
              </w:rPr>
              <w:t xml:space="preserve">Grey — Day Off / Out of Session</w:t>
            </w:r>
          </w:p>
        </w:tc>
        <w:tc>
          <w:tcPr>
            <w:tcW w:type="dxa" w:w="6240"/>
            <w:tcBorders>
              <w:top w:val="single" w:color="BBBEC8" w:sz="1"/>
              <w:left w:val="single" w:color="BBBEC8" w:sz="1"/>
              <w:bottom w:val="single" w:color="BBBEC8" w:sz="1"/>
              <w:right w:val="single" w:color="BBBEC8" w:sz="1"/>
            </w:tcBorders>
            <w:shd w:fill="F4F6FA" w:val="clear"/>
            <w:tcMar>
              <w:top w:type="dxa" w:w="80"/>
              <w:left w:type="dxa" w:w="120"/>
              <w:bottom w:type="dxa" w:w="80"/>
              <w:right w:type="dxa" w:w="80"/>
            </w:tcMar>
          </w:tcPr>
          <w:p>
            <w:r>
              <w:rPr>
                <w:rFonts w:ascii="Arial" w:cs="Arial" w:eastAsia="Arial" w:hAnsi="Arial"/>
                <w:color w:val="3A3D45"/>
                <w:sz w:val="20"/>
                <w:szCs w:val="20"/>
              </w:rPr>
              <w:t xml:space="preserve">Current day is disabled, or outside London/NY session hours.</w:t>
            </w:r>
          </w:p>
        </w:tc>
      </w:tr>
    </w:tbl>
    <w:p>
      <w:pPr>
        <w:spacing w:after="200"/>
      </w:pPr>
      <w:r>
        <w:t xml:space="preserve"/>
      </w:r>
    </w:p>
    <w:p>
      <w:r>
        <w:br w:type="page"/>
      </w:r>
    </w:p>
    <w:p>
      <w:pPr>
        <w:spacing w:after="80"/>
      </w:pPr>
      <w:r>
        <w:t xml:space="preserve"/>
      </w:r>
    </w:p>
    <w:p>
      <w:pPr>
        <w:spacing w:before="0" w:after="0"/>
      </w:pPr>
      <w:r>
        <w:rPr>
          <w:rFonts w:ascii="Arial" w:cs="Arial" w:eastAsia="Arial" w:hAnsi="Arial"/>
          <w:b/>
          <w:bCs/>
          <w:color w:val="0F1B35"/>
          <w:sz w:val="40"/>
          <w:szCs w:val="40"/>
        </w:rPr>
        <w:t xml:space="preserve">GETTING STARTED</w:t>
      </w:r>
    </w:p>
    <w:p>
      <w:pPr>
        <w:pBdr>
          <w:bottom w:val="single" w:color="1CB8A0" w:sz="3" w:space="1"/>
        </w:pBdr>
        <w:spacing w:before="0" w:after="0"/>
      </w:pPr>
      <w:r>
        <w:t xml:space="preserve"/>
      </w:r>
    </w:p>
    <w:p>
      <w:pPr>
        <w:spacing w:after="120"/>
      </w:pPr>
      <w:r>
        <w:t xml:space="preserve"/>
      </w:r>
    </w:p>
    <w:p>
      <w:pPr>
        <w:spacing w:before="80" w:after="100"/>
      </w:pPr>
      <w:r>
        <w:rPr>
          <w:rFonts w:ascii="Arial" w:cs="Arial" w:eastAsia="Arial" w:hAnsi="Arial"/>
          <w:color w:val="3A3D45"/>
          <w:sz w:val="22"/>
          <w:szCs w:val="22"/>
        </w:rPr>
        <w:t xml:space="preserve">Oracle runs on TradingView and requires a TradingView account with Pine Script strategy support. It is designed for use on the CME Micro E-mini Nasdaq-100 (MNQ1!) or E-mini Nasdaq-100 (NQ1!) futures contracts on a 5-minute chart.</w:t>
      </w:r>
    </w:p>
    <w:p>
      <w:pPr>
        <w:spacing w:after="120"/>
      </w:pPr>
      <w:r>
        <w:t xml:space="preserve"/>
      </w:r>
    </w:p>
    <w:p>
      <w:pPr>
        <w:spacing w:before="0" w:after="100"/>
      </w:pPr>
      <w:r>
        <w:rPr>
          <w:rFonts w:ascii="Arial" w:cs="Arial" w:eastAsia="Arial" w:hAnsi="Arial"/>
          <w:b/>
          <w:bCs/>
          <w:color w:val="0F1B35"/>
          <w:sz w:val="22"/>
          <w:szCs w:val="22"/>
        </w:rPr>
        <w:t xml:space="preserve">Recommended first steps:</w:t>
      </w:r>
    </w:p>
    <w:p>
      <w:pPr>
        <w:pStyle w:val="ListParagraph"/>
        <w:numPr>
          <w:ilvl w:val="0"/>
          <w:numId w:val="2"/>
        </w:numPr>
        <w:spacing w:before="60" w:after="60"/>
      </w:pPr>
      <w:r>
        <w:rPr>
          <w:rFonts w:ascii="Arial" w:cs="Arial" w:eastAsia="Arial" w:hAnsi="Arial"/>
          <w:color w:val="3A3D45"/>
          <w:sz w:val="22"/>
          <w:szCs w:val="22"/>
        </w:rPr>
        <w:t xml:space="preserve">Add the Oracle script to your MNQ1! 5-minute chart in TradingView</w:t>
      </w:r>
    </w:p>
    <w:p>
      <w:pPr>
        <w:pStyle w:val="ListParagraph"/>
        <w:numPr>
          <w:ilvl w:val="0"/>
          <w:numId w:val="2"/>
        </w:numPr>
        <w:spacing w:before="60" w:after="60"/>
      </w:pPr>
      <w:r>
        <w:rPr>
          <w:rFonts w:ascii="Arial" w:cs="Arial" w:eastAsia="Arial" w:hAnsi="Arial"/>
          <w:color w:val="3A3D45"/>
          <w:sz w:val="22"/>
          <w:szCs w:val="22"/>
        </w:rPr>
        <w:t xml:space="preserve">Enable Backtest Mode and run against 12 months of historical data</w:t>
      </w:r>
    </w:p>
    <w:p>
      <w:pPr>
        <w:pStyle w:val="ListParagraph"/>
        <w:numPr>
          <w:ilvl w:val="0"/>
          <w:numId w:val="2"/>
        </w:numPr>
        <w:spacing w:before="60" w:after="60"/>
      </w:pPr>
      <w:r>
        <w:rPr>
          <w:rFonts w:ascii="Arial" w:cs="Arial" w:eastAsia="Arial" w:hAnsi="Arial"/>
          <w:color w:val="3A3D45"/>
          <w:sz w:val="22"/>
          <w:szCs w:val="22"/>
        </w:rPr>
        <w:t xml:space="preserve">Review the equity curve and List of Trades in the Strategy Tester panel</w:t>
      </w:r>
    </w:p>
    <w:p>
      <w:pPr>
        <w:pStyle w:val="ListParagraph"/>
        <w:numPr>
          <w:ilvl w:val="0"/>
          <w:numId w:val="2"/>
        </w:numPr>
        <w:spacing w:before="60" w:after="60"/>
      </w:pPr>
      <w:r>
        <w:rPr>
          <w:rFonts w:ascii="Arial" w:cs="Arial" w:eastAsia="Arial" w:hAnsi="Arial"/>
          <w:color w:val="3A3D45"/>
          <w:sz w:val="22"/>
          <w:szCs w:val="22"/>
        </w:rPr>
        <w:t xml:space="preserve">Set Trailing SL with activation at 20pts and trail distance at 10pts</w:t>
      </w:r>
    </w:p>
    <w:p>
      <w:pPr>
        <w:pStyle w:val="ListParagraph"/>
        <w:numPr>
          <w:ilvl w:val="0"/>
          <w:numId w:val="2"/>
        </w:numPr>
        <w:spacing w:before="60" w:after="60"/>
      </w:pPr>
      <w:r>
        <w:rPr>
          <w:rFonts w:ascii="Arial" w:cs="Arial" w:eastAsia="Arial" w:hAnsi="Arial"/>
          <w:color w:val="3A3D45"/>
          <w:sz w:val="22"/>
          <w:szCs w:val="22"/>
        </w:rPr>
        <w:t xml:space="preserve">Enable Partial Close at TP1=10pts and TP2=20pts to address duration exits</w:t>
      </w:r>
    </w:p>
    <w:p>
      <w:pPr>
        <w:pStyle w:val="ListParagraph"/>
        <w:numPr>
          <w:ilvl w:val="0"/>
          <w:numId w:val="2"/>
        </w:numPr>
        <w:spacing w:before="60" w:after="60"/>
      </w:pPr>
      <w:r>
        <w:rPr>
          <w:rFonts w:ascii="Arial" w:cs="Arial" w:eastAsia="Arial" w:hAnsi="Arial"/>
          <w:color w:val="3A3D45"/>
          <w:sz w:val="22"/>
          <w:szCs w:val="22"/>
        </w:rPr>
        <w:t xml:space="preserve">Configure your session times to match your broker's chart timezone</w:t>
      </w:r>
    </w:p>
    <w:p>
      <w:pPr>
        <w:pStyle w:val="ListParagraph"/>
        <w:numPr>
          <w:ilvl w:val="0"/>
          <w:numId w:val="2"/>
        </w:numPr>
        <w:spacing w:before="60" w:after="60"/>
      </w:pPr>
      <w:r>
        <w:rPr>
          <w:rFonts w:ascii="Arial" w:cs="Arial" w:eastAsia="Arial" w:hAnsi="Arial"/>
          <w:color w:val="3A3D45"/>
          <w:sz w:val="22"/>
          <w:szCs w:val="22"/>
        </w:rPr>
        <w:t xml:space="preserve">Set your daily profit target and loss limit to match your account size</w:t>
      </w:r>
    </w:p>
    <w:p>
      <w:pPr>
        <w:pStyle w:val="ListParagraph"/>
        <w:numPr>
          <w:ilvl w:val="0"/>
          <w:numId w:val="2"/>
        </w:numPr>
        <w:spacing w:before="60" w:after="60"/>
      </w:pPr>
      <w:r>
        <w:rPr>
          <w:rFonts w:ascii="Arial" w:cs="Arial" w:eastAsia="Arial" w:hAnsi="Arial"/>
          <w:color w:val="3A3D45"/>
          <w:sz w:val="22"/>
          <w:szCs w:val="22"/>
        </w:rPr>
        <w:t xml:space="preserve">Paper trade for minimum two weeks with Backtest Mode OFF before going live</w:t>
      </w:r>
    </w:p>
    <w:p>
      <w:pPr>
        <w:pStyle w:val="ListParagraph"/>
        <w:numPr>
          <w:ilvl w:val="0"/>
          <w:numId w:val="2"/>
        </w:numPr>
        <w:spacing w:before="60" w:after="60"/>
      </w:pPr>
      <w:r>
        <w:rPr>
          <w:rFonts w:ascii="Arial" w:cs="Arial" w:eastAsia="Arial" w:hAnsi="Arial"/>
          <w:color w:val="3A3D45"/>
          <w:sz w:val="22"/>
          <w:szCs w:val="22"/>
        </w:rPr>
        <w:t xml:space="preserve">Start live with 1 MNQ contract ($2/point) and scale gradually</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left w:val="single" w:color="C9952A" w:sz="8"/>
              <w:bottom w:val="none"/>
              <w:right w:val="none"/>
            </w:tcBorders>
            <w:shd w:fill="EAF0F8" w:val="clear"/>
            <w:tcMar>
              <w:top w:type="dxa" w:w="120"/>
              <w:left w:type="dxa" w:w="200"/>
              <w:bottom w:type="dxa" w:w="120"/>
              <w:right w:type="dxa" w:w="160"/>
            </w:tcMar>
          </w:tcPr>
          <w:p>
            <w:pPr>
              <w:spacing w:after="60"/>
            </w:pPr>
            <w:r>
              <w:rPr>
                <w:rFonts w:ascii="Arial" w:cs="Arial" w:eastAsia="Arial" w:hAnsi="Arial"/>
                <w:b/>
                <w:bCs/>
                <w:color w:val="0F1B35"/>
                <w:sz w:val="22"/>
                <w:szCs w:val="22"/>
              </w:rPr>
              <w:t xml:space="preserve">CRITICAL — Backtest Mode</w:t>
            </w:r>
          </w:p>
          <w:p>
            <w:pPr>
              <w:spacing w:after="0"/>
            </w:pPr>
            <w:r>
              <w:rPr>
                <w:rFonts w:ascii="Arial" w:cs="Arial" w:eastAsia="Arial" w:hAnsi="Arial"/>
                <w:color w:val="3A3D45"/>
                <w:sz w:val="21"/>
                <w:szCs w:val="21"/>
              </w:rPr>
              <w:t xml:space="preserve">Always ensure Backtest Mode is set to OFF when trading live. With Backtest Mode enabled, Oracle places signals on every historical bar each time the chart loads. This is correct behaviour for backtesting but will produce incorrect entries if left on during live trading.</w:t>
            </w:r>
          </w:p>
        </w:tc>
      </w:tr>
    </w:tbl>
    <w:p>
      <w:pPr>
        <w:spacing w:after="200"/>
      </w:pPr>
      <w:r>
        <w:t xml:space="preserve"/>
      </w:r>
    </w:p>
    <w:p>
      <w:pPr>
        <w:pBdr>
          <w:bottom w:val="single" w:color="C9952A" w:sz="6" w:space="1"/>
        </w:pBdr>
        <w:spacing w:before="0" w:after="0"/>
      </w:pPr>
      <w:r>
        <w:t xml:space="preserve"/>
      </w:r>
    </w:p>
    <w:p>
      <w:pPr>
        <w:spacing w:after="120"/>
      </w:pPr>
      <w:r>
        <w:t xml:space="preserve"/>
      </w:r>
    </w:p>
    <w:p>
      <w:pPr>
        <w:spacing w:before="0" w:after="120"/>
      </w:pPr>
      <w:r>
        <w:rPr>
          <w:rFonts w:ascii="Arial" w:cs="Arial" w:eastAsia="Arial" w:hAnsi="Arial"/>
          <w:b/>
          <w:bCs/>
          <w:color w:val="0F1B35"/>
          <w:sz w:val="26"/>
          <w:szCs w:val="26"/>
        </w:rPr>
        <w:t xml:space="preserve">RISK DISCLAIMER</w:t>
      </w:r>
    </w:p>
    <w:p>
      <w:pPr>
        <w:spacing w:before="80" w:after="100"/>
      </w:pPr>
      <w:r>
        <w:rPr>
          <w:rFonts w:ascii="Arial" w:cs="Arial" w:eastAsia="Arial" w:hAnsi="Arial"/>
          <w:color w:val="3A3D45"/>
          <w:sz w:val="22"/>
          <w:szCs w:val="22"/>
        </w:rPr>
        <w:t xml:space="preserve">Trading futures contracts carries substantial risk of loss and is not appropriate for all investors. The performance results shown in this document are based on backtesting and are not a guarantee of future results. Past performance is not indicative of future performance. Oracle is provided as an analytical tool — it does not constitute financial advice. You are solely responsible for your trading decisions and any resulting profits or losses. Only trade with capital you can afford to lose entirely. Consult a qualified financial professional before trading if you are unsure whether futures trading is appropriate for your financial situation.</w:t>
      </w:r>
    </w:p>
    <w:p>
      <w:pPr>
        <w:spacing w:after="300"/>
      </w:pPr>
      <w:r>
        <w:t xml:space="preserve"/>
      </w:r>
    </w:p>
    <w:p>
      <w:pPr>
        <w:shd w:fill="0A0E1A" w:val="clear"/>
        <w:spacing w:before="0" w:after="0"/>
        <w:jc w:val="center"/>
      </w:pPr>
      <w:r>
        <w:rPr>
          <w:rFonts w:ascii="Arial" w:cs="Arial" w:eastAsia="Arial" w:hAnsi="Arial"/>
          <w:b/>
          <w:bCs/>
          <w:color w:val="F0C060"/>
          <w:sz w:val="72"/>
          <w:szCs w:val="72"/>
        </w:rPr>
        <w:t xml:space="preserve">ORACLE</w:t>
      </w:r>
    </w:p>
    <w:p>
      <w:pPr>
        <w:pBdr>
          <w:bottom w:val="single" w:color="C9952A" w:sz="6" w:space="1"/>
        </w:pBdr>
        <w:shd w:fill="0A0E1A" w:val="clear"/>
        <w:spacing w:before="0" w:after="0"/>
        <w:jc w:val="center"/>
      </w:pPr>
      <w:r>
        <w:rPr>
          <w:rFonts w:ascii="Arial" w:cs="Arial" w:eastAsia="Arial" w:hAnsi="Arial"/>
          <w:i/>
          <w:iCs/>
          <w:color w:val="4DD9C5"/>
          <w:sz w:val="24"/>
          <w:szCs w:val="24"/>
        </w:rPr>
        <w:t xml:space="preserve">See the level before price arrives</w:t>
      </w:r>
    </w:p>
    <w:p>
      <w:pPr>
        <w:shd w:fill="0A0E1A" w:val="clear"/>
        <w:spacing w:before="40" w:after="0"/>
        <w:jc w:val="center"/>
      </w:pPr>
      <w:r>
        <w:rPr>
          <w:rFonts w:ascii="Arial" w:cs="Arial" w:eastAsia="Arial" w:hAnsi="Arial"/>
          <w:color w:val="C8CBD4"/>
          <w:sz w:val="18"/>
          <w:szCs w:val="18"/>
        </w:rPr>
        <w:t xml:space="preserve">81.1% Win Rate  |  +$18,462 P&amp;L  |  1,273 Trades  |  Mar 2025 – Mar 2026</w:t>
      </w:r>
    </w:p>
    <w:sectPr>
      <w:headerReference w:type="default" r:id="rId6"/>
      <w:footerReference w:type="default" r:id="rId7"/>
      <w:pgSz w:w="12240" w:h="15840" w:orient="portrait"/>
      <w:pgMar w:top="900" w:right="1080" w:bottom="900" w:left="108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C9952A" w:sz="4" w:space="1"/>
      </w:pBdr>
      <w:spacing w:before="60"/>
      <w:jc w:val="right"/>
    </w:pPr>
    <w:r>
      <w:rPr>
        <w:rFonts w:ascii="Arial" w:cs="Arial" w:eastAsia="Arial" w:hAnsi="Arial"/>
        <w:color w:val="C8CBD4"/>
        <w:sz w:val="16"/>
        <w:szCs w:val="16"/>
      </w:rPr>
      <w:t xml:space="preserve">Confidential — Not for redistribution  |  Page </w:t>
    </w:r>
    <w:r>
      <w:rPr>
        <w:rFonts w:ascii="Arial" w:cs="Arial" w:eastAsia="Arial" w:hAnsi="Arial"/>
        <w:color w:val="C8CBD4"/>
        <w:sz w:val="16"/>
        <w:szCs w:val="16"/>
      </w:rPr>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C9952A" w:sz="6" w:space="1"/>
      </w:pBdr>
      <w:spacing w:after="0"/>
    </w:pPr>
    <w:r>
      <w:rPr>
        <w:rFonts w:ascii="Arial" w:cs="Arial" w:eastAsia="Arial" w:hAnsi="Arial"/>
        <w:b/>
        <w:bCs/>
        <w:color w:val="C9952A"/>
        <w:sz w:val="20"/>
        <w:szCs w:val="20"/>
      </w:rPr>
      <w:t xml:space="preserve">ORACLE  </w:t>
    </w:r>
    <w:r>
      <w:rPr>
        <w:rFonts w:ascii="Arial" w:cs="Arial" w:eastAsia="Arial" w:hAnsi="Arial"/>
        <w:color w:val="C8CBD4"/>
        <w:sz w:val="18"/>
        <w:szCs w:val="18"/>
      </w:rPr>
      <w:t xml:space="preserve">Precision Level Trading Strategy  |  NQ / MNQ Futures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paragraph" w:styleId="Heading1">
    <w:name w:val="Heading 1"/>
    <w:basedOn w:val="Normal"/>
    <w:next w:val="Normal"/>
    <w:qFormat/>
    <w:pPr>
      <w:spacing w:before="0" w:after="120"/>
      <w:outlineLvl w:val="0"/>
    </w:pPr>
    <w:rPr>
      <w:rFonts w:ascii="Arial" w:cs="Arial" w:eastAsia="Arial" w:hAnsi="Arial"/>
      <w:b/>
      <w:bCs/>
      <w:sz w:val="36"/>
      <w:szCs w:val="36"/>
    </w:rPr>
  </w:style>
  <w:style w:type="paragraph" w:styleId="Heading2">
    <w:name w:val="Heading 2"/>
    <w:basedOn w:val="Normal"/>
    <w:next w:val="Normal"/>
    <w:qFormat/>
    <w:pPr>
      <w:spacing w:before="280" w:after="100"/>
      <w:outlineLvl w:val="1"/>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fontTable" Target="fontTable.xml"/></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2026-03-15T20:01:03.408Z</dcterms:created>
  <dcterms:modified xsi:type="dcterms:W3CDTF">2026-03-15T20:01:03.409Z</dcterms:modified>
</cp:coreProperties>
</file>

<file path=docProps/custom.xml><?xml version="1.0" encoding="utf-8"?>
<Properties xmlns="http://schemas.openxmlformats.org/officeDocument/2006/custom-properties" xmlns:vt="http://schemas.openxmlformats.org/officeDocument/2006/docPropsVTypes"/>
</file>