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0" w:after="600"/>
      </w:pPr>
      <w:r>
        <w:t xml:space="preserve"/>
      </w:r>
    </w:p>
    <w:p>
      <w:pPr>
        <w:shd w:fill="0D1F3C" w:val="clear"/>
        <w:spacing w:before="0" w:after="0"/>
        <w:jc w:val="center"/>
      </w:pPr>
      <w:r>
        <w:rPr>
          <w:rFonts w:ascii="Arial" w:cs="Arial" w:eastAsia="Arial" w:hAnsi="Arial"/>
          <w:b/>
          <w:bCs/>
          <w:color w:val="FFFFFF"/>
          <w:sz w:val="56"/>
          <w:szCs w:val="56"/>
        </w:rPr>
        <w:t xml:space="preserve">EXTREME LEVEL INDICATOR</w:t>
      </w:r>
    </w:p>
    <w:p>
      <w:pPr>
        <w:shd w:fill="1E3A5F" w:val="clear"/>
        <w:spacing w:before="0" w:after="0"/>
        <w:jc w:val="center"/>
      </w:pPr>
      <w:r>
        <w:rPr>
          <w:rFonts w:ascii="Arial" w:cs="Arial" w:eastAsia="Arial" w:hAnsi="Arial"/>
          <w:color w:val="D5E8F0"/>
          <w:sz w:val="30"/>
          <w:szCs w:val="30"/>
        </w:rPr>
        <w:t xml:space="preserve">Version 1.0  |  Updated Trader's Guide</w:t>
      </w:r>
    </w:p>
    <w:p>
      <w:pPr>
        <w:shd w:fill="2E75B6" w:val="clear"/>
        <w:spacing w:before="0" w:after="400"/>
        <w:jc w:val="center"/>
      </w:pPr>
      <w:r>
        <w:rPr>
          <w:rFonts w:ascii="Arial" w:cs="Arial" w:eastAsia="Arial" w:hAnsi="Arial"/>
          <w:i/>
          <w:iCs/>
          <w:color w:val="FFFFFF"/>
          <w:sz w:val="24"/>
          <w:szCs w:val="24"/>
        </w:rPr>
        <w:t xml:space="preserve">TradingView Pine Script Strategy for NQ / MNQ Futures</w:t>
      </w:r>
    </w:p>
    <w:p>
      <w:pPr>
        <w:spacing w:before="0"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c>
          <w:tcPr>
            <w:tcW w:type="dxa" w:w="2340"/>
            <w:tcBorders>
              <w:top w:val="single" w:color="2E75B6" w:sz="1"/>
              <w:left w:val="single" w:color="2E75B6" w:sz="1"/>
              <w:bottom w:val="single" w:color="2E75B6" w:sz="1"/>
              <w:right w:val="single" w:color="2E75B6" w:sz="1"/>
            </w:tcBorders>
            <w:shd w:fill="EAF4FB" w:val="clear"/>
            <w:tcMar>
              <w:top w:type="dxa" w:w="160"/>
              <w:left w:type="dxa" w:w="120"/>
              <w:bottom w:type="dxa" w:w="160"/>
              <w:right w:type="dxa" w:w="120"/>
            </w:tcMar>
          </w:tcPr>
          <w:p>
            <w:pPr>
              <w:jc w:val="center"/>
            </w:pPr>
            <w:r>
              <w:rPr>
                <w:rFonts w:ascii="Arial" w:cs="Arial" w:eastAsia="Arial" w:hAnsi="Arial"/>
                <w:b/>
                <w:bCs/>
                <w:color w:val="0D1F3C"/>
                <w:sz w:val="36"/>
                <w:szCs w:val="36"/>
              </w:rPr>
              <w:t xml:space="preserve">+$18,462</w:t>
            </w:r>
          </w:p>
          <w:p>
            <w:pPr>
              <w:jc w:val="center"/>
            </w:pPr>
            <w:r>
              <w:rPr>
                <w:rFonts w:ascii="Arial" w:cs="Arial" w:eastAsia="Arial" w:hAnsi="Arial"/>
                <w:color w:val="444444"/>
                <w:sz w:val="18"/>
                <w:szCs w:val="18"/>
              </w:rPr>
              <w:t xml:space="preserve">12-Month P&amp;L</w:t>
            </w:r>
          </w:p>
        </w:tc>
        <w:tc>
          <w:tcPr>
            <w:tcW w:type="dxa" w:w="2340"/>
            <w:tcBorders>
              <w:top w:val="single" w:color="2E75B6" w:sz="1"/>
              <w:left w:val="single" w:color="2E75B6" w:sz="1"/>
              <w:bottom w:val="single" w:color="2E75B6" w:sz="1"/>
              <w:right w:val="single" w:color="2E75B6" w:sz="1"/>
            </w:tcBorders>
            <w:shd w:fill="EAF4FB" w:val="clear"/>
            <w:tcMar>
              <w:top w:type="dxa" w:w="160"/>
              <w:left w:type="dxa" w:w="120"/>
              <w:bottom w:type="dxa" w:w="160"/>
              <w:right w:type="dxa" w:w="120"/>
            </w:tcMar>
          </w:tcPr>
          <w:p>
            <w:pPr>
              <w:jc w:val="center"/>
            </w:pPr>
            <w:r>
              <w:rPr>
                <w:rFonts w:ascii="Arial" w:cs="Arial" w:eastAsia="Arial" w:hAnsi="Arial"/>
                <w:b/>
                <w:bCs/>
                <w:color w:val="0D1F3C"/>
                <w:sz w:val="36"/>
                <w:szCs w:val="36"/>
              </w:rPr>
              <w:t xml:space="preserve">81.1%</w:t>
            </w:r>
          </w:p>
          <w:p>
            <w:pPr>
              <w:jc w:val="center"/>
            </w:pPr>
            <w:r>
              <w:rPr>
                <w:rFonts w:ascii="Arial" w:cs="Arial" w:eastAsia="Arial" w:hAnsi="Arial"/>
                <w:color w:val="444444"/>
                <w:sz w:val="18"/>
                <w:szCs w:val="18"/>
              </w:rPr>
              <w:t xml:space="preserve">Win Rate</w:t>
            </w:r>
          </w:p>
        </w:tc>
        <w:tc>
          <w:tcPr>
            <w:tcW w:type="dxa" w:w="2340"/>
            <w:tcBorders>
              <w:top w:val="single" w:color="2E75B6" w:sz="1"/>
              <w:left w:val="single" w:color="2E75B6" w:sz="1"/>
              <w:bottom w:val="single" w:color="2E75B6" w:sz="1"/>
              <w:right w:val="single" w:color="2E75B6" w:sz="1"/>
            </w:tcBorders>
            <w:shd w:fill="EAF4FB" w:val="clear"/>
            <w:tcMar>
              <w:top w:type="dxa" w:w="160"/>
              <w:left w:type="dxa" w:w="120"/>
              <w:bottom w:type="dxa" w:w="160"/>
              <w:right w:type="dxa" w:w="120"/>
            </w:tcMar>
          </w:tcPr>
          <w:p>
            <w:pPr>
              <w:jc w:val="center"/>
            </w:pPr>
            <w:r>
              <w:rPr>
                <w:rFonts w:ascii="Arial" w:cs="Arial" w:eastAsia="Arial" w:hAnsi="Arial"/>
                <w:b/>
                <w:bCs/>
                <w:color w:val="0D1F3C"/>
                <w:sz w:val="36"/>
                <w:szCs w:val="36"/>
              </w:rPr>
              <w:t xml:space="preserve">1,273</w:t>
            </w:r>
          </w:p>
          <w:p>
            <w:pPr>
              <w:jc w:val="center"/>
            </w:pPr>
            <w:r>
              <w:rPr>
                <w:rFonts w:ascii="Arial" w:cs="Arial" w:eastAsia="Arial" w:hAnsi="Arial"/>
                <w:color w:val="444444"/>
                <w:sz w:val="18"/>
                <w:szCs w:val="18"/>
              </w:rPr>
              <w:t xml:space="preserve">Trades Taken</w:t>
            </w:r>
          </w:p>
        </w:tc>
        <w:tc>
          <w:tcPr>
            <w:tcW w:type="dxa" w:w="2340"/>
            <w:tcBorders>
              <w:top w:val="single" w:color="2E75B6" w:sz="1"/>
              <w:left w:val="single" w:color="2E75B6" w:sz="1"/>
              <w:bottom w:val="single" w:color="2E75B6" w:sz="1"/>
              <w:right w:val="single" w:color="2E75B6" w:sz="1"/>
            </w:tcBorders>
            <w:shd w:fill="EAF4FB" w:val="clear"/>
            <w:tcMar>
              <w:top w:type="dxa" w:w="160"/>
              <w:left w:type="dxa" w:w="120"/>
              <w:bottom w:type="dxa" w:w="160"/>
              <w:right w:type="dxa" w:w="120"/>
            </w:tcMar>
          </w:tcPr>
          <w:p>
            <w:pPr>
              <w:jc w:val="center"/>
            </w:pPr>
            <w:r>
              <w:rPr>
                <w:rFonts w:ascii="Arial" w:cs="Arial" w:eastAsia="Arial" w:hAnsi="Arial"/>
                <w:b/>
                <w:bCs/>
                <w:color w:val="0D1F3C"/>
                <w:sz w:val="36"/>
                <w:szCs w:val="36"/>
              </w:rPr>
              <w:t xml:space="preserve">0.81%</w:t>
            </w:r>
          </w:p>
          <w:p>
            <w:pPr>
              <w:jc w:val="center"/>
            </w:pPr>
            <w:r>
              <w:rPr>
                <w:rFonts w:ascii="Arial" w:cs="Arial" w:eastAsia="Arial" w:hAnsi="Arial"/>
                <w:color w:val="444444"/>
                <w:sz w:val="18"/>
                <w:szCs w:val="18"/>
              </w:rPr>
              <w:t xml:space="preserve">Max Drawdown</w:t>
            </w:r>
          </w:p>
        </w:tc>
      </w:tr>
    </w:tbl>
    <w:p>
      <w:pPr>
        <w:spacing w:before="0" w:after="300"/>
      </w:pPr>
      <w:r>
        <w:t xml:space="preserve"/>
      </w:r>
    </w:p>
    <w:p>
      <w:pPr>
        <w:jc w:val="center"/>
      </w:pPr>
      <w:r>
        <w:rPr>
          <w:rFonts w:ascii="Arial" w:cs="Arial" w:eastAsia="Arial" w:hAnsi="Arial"/>
          <w:i/>
          <w:iCs/>
          <w:color w:val="444444"/>
          <w:sz w:val="20"/>
          <w:szCs w:val="20"/>
        </w:rPr>
        <w:t xml:space="preserve">Updated edition — includes Trailing SL, ATR Dynamic SL, Partial Close, EMA Filter,</w:t>
      </w:r>
    </w:p>
    <w:p>
      <w:pPr>
        <w:jc w:val="center"/>
      </w:pPr>
      <w:r>
        <w:rPr>
          <w:rFonts w:ascii="Arial" w:cs="Arial" w:eastAsia="Arial" w:hAnsi="Arial"/>
          <w:i/>
          <w:iCs/>
          <w:color w:val="444444"/>
          <w:sz w:val="20"/>
          <w:szCs w:val="20"/>
        </w:rPr>
        <w:t xml:space="preserve">Session P&amp;L Stops, Re-entry Block, Win Streak Lock-in, News Blackout and more</w:t>
      </w:r>
    </w:p>
    <w:p>
      <w:pPr>
        <w:spacing w:before="0" w:after="600"/>
      </w:pPr>
      <w:r>
        <w:t xml:space="preserve"/>
      </w:r>
    </w:p>
    <w:p>
      <w:r>
        <w:br w:type="page"/>
      </w:r>
    </w:p>
    <w:p>
      <w:pPr>
        <w:pStyle w:val="Heading1"/>
        <w:pBdr>
          <w:bottom w:val="single" w:color="2E75B6" w:sz="4" w:space="1"/>
        </w:pBdr>
        <w:shd w:fill="0D1F3C" w:val="clear"/>
        <w:spacing w:before="0" w:after="200"/>
        <w:ind w:left="280" w:right="280"/>
      </w:pPr>
      <w:r>
        <w:rPr>
          <w:rFonts w:ascii="Arial" w:cs="Arial" w:eastAsia="Arial" w:hAnsi="Arial"/>
          <w:b/>
          <w:bCs/>
          <w:color w:val="FFFFFF"/>
          <w:sz w:val="36"/>
          <w:szCs w:val="36"/>
        </w:rPr>
        <w:t xml:space="preserve">1.  What is the Extreme Level Indicator?</w:t>
      </w:r>
    </w:p>
    <w:p>
      <w:pPr>
        <w:spacing w:before="0" w:after="100"/>
      </w:pPr>
      <w:r>
        <w:t xml:space="preserve"/>
      </w:r>
    </w:p>
    <w:p>
      <w:pPr>
        <w:spacing w:before="80" w:after="100"/>
      </w:pPr>
      <w:r>
        <w:rPr>
          <w:rFonts w:ascii="Arial" w:cs="Arial" w:eastAsia="Arial" w:hAnsi="Arial"/>
          <w:color w:val="444444"/>
          <w:sz w:val="22"/>
          <w:szCs w:val="22"/>
        </w:rPr>
        <w:t xml:space="preserve">The Extreme Level Indicator is a precision price-action trading strategy built for TradingView using Pine Script v5. It trades reversals at statistically significant price levels — points where institutional money has previously caused major price reactions and is likely to do so again.</w:t>
      </w:r>
    </w:p>
    <w:p>
      <w:pPr>
        <w:spacing w:before="0" w:after="80"/>
      </w:pPr>
      <w:r>
        <w:t xml:space="preserve"/>
      </w:r>
    </w:p>
    <w:p>
      <w:pPr>
        <w:spacing w:before="80" w:after="100"/>
      </w:pPr>
      <w:r>
        <w:rPr>
          <w:rFonts w:ascii="Arial" w:cs="Arial" w:eastAsia="Arial" w:hAnsi="Arial"/>
          <w:color w:val="444444"/>
          <w:sz w:val="22"/>
          <w:szCs w:val="22"/>
        </w:rPr>
        <w:t xml:space="preserve">The strategy identifies high-probability turning points at key structural levels and waits for one of six confirming candlestick patterns before entering. It includes a comprehensive risk management system covering trailing stops, breakeven moves, partial profit taking, daily/weekly/monthly P&amp;L limits, and multiple session filters.</w:t>
      </w:r>
    </w:p>
    <w:p>
      <w:pPr>
        <w:spacing w:before="0" w:after="14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Core Trading Philosophy</w:t>
      </w:r>
    </w:p>
    <w:p>
      <w:pPr>
        <w:spacing w:before="80" w:after="100"/>
      </w:pPr>
      <w:r>
        <w:rPr>
          <w:rFonts w:ascii="Arial" w:cs="Arial" w:eastAsia="Arial" w:hAnsi="Arial"/>
          <w:color w:val="444444"/>
          <w:sz w:val="22"/>
          <w:szCs w:val="22"/>
        </w:rPr>
        <w:t xml:space="preserve">The strategy is built around one idea: price respects levels. Previous day highs and lows, weekly extremes, monthly pivots — these are price points where buyers and sellers previously reached equilibrium. When price returns to these levels, the same battle occurs again. The strategy enters at the moment price shows it is rejecting that level.</w:t>
      </w:r>
    </w:p>
    <w:p>
      <w:pPr>
        <w:spacing w:before="0" w:after="14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Updated Performance (12 Months — Trailing SL Settings)</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2E75B6" w:sz="1"/>
              <w:left w:val="single" w:color="2E75B6" w:sz="1"/>
              <w:bottom w:val="single" w:color="2E75B6" w:sz="1"/>
              <w:right w:val="single" w:color="2E75B6" w:sz="1"/>
            </w:tcBorders>
            <w:shd w:fill="0D1F3C" w:val="clear"/>
            <w:tcMar>
              <w:top w:type="dxa" w:w="80"/>
              <w:left w:type="dxa" w:w="160"/>
              <w:bottom w:type="dxa" w:w="80"/>
              <w:right w:type="dxa" w:w="160"/>
            </w:tcMar>
          </w:tcPr>
          <w:p>
            <w:pPr>
              <w:jc w:val="center"/>
            </w:pPr>
            <w:r>
              <w:rPr>
                <w:rFonts w:ascii="Arial" w:cs="Arial" w:eastAsia="Arial" w:hAnsi="Arial"/>
                <w:b/>
                <w:bCs/>
                <w:color w:val="FFFFFF"/>
                <w:sz w:val="22"/>
                <w:szCs w:val="22"/>
              </w:rPr>
              <w:t xml:space="preserve">Metric</w:t>
            </w:r>
          </w:p>
        </w:tc>
        <w:tc>
          <w:tcPr>
            <w:tcW w:type="dxa" w:w="3120"/>
            <w:tcBorders>
              <w:top w:val="single" w:color="2E75B6" w:sz="1"/>
              <w:left w:val="single" w:color="2E75B6" w:sz="1"/>
              <w:bottom w:val="single" w:color="2E75B6" w:sz="1"/>
              <w:right w:val="single" w:color="2E75B6" w:sz="1"/>
            </w:tcBorders>
            <w:shd w:fill="0D1F3C" w:val="clear"/>
            <w:tcMar>
              <w:top w:type="dxa" w:w="80"/>
              <w:left w:type="dxa" w:w="160"/>
              <w:bottom w:type="dxa" w:w="80"/>
              <w:right w:type="dxa" w:w="160"/>
            </w:tcMar>
          </w:tcPr>
          <w:p>
            <w:pPr>
              <w:jc w:val="center"/>
            </w:pPr>
            <w:r>
              <w:rPr>
                <w:rFonts w:ascii="Arial" w:cs="Arial" w:eastAsia="Arial" w:hAnsi="Arial"/>
                <w:b/>
                <w:bCs/>
                <w:color w:val="FFFFFF"/>
                <w:sz w:val="22"/>
                <w:szCs w:val="22"/>
              </w:rPr>
              <w:t xml:space="preserve">Value</w:t>
            </w:r>
          </w:p>
        </w:tc>
        <w:tc>
          <w:tcPr>
            <w:tcW w:type="dxa" w:w="3120"/>
            <w:tcBorders>
              <w:top w:val="single" w:color="2E75B6" w:sz="1"/>
              <w:left w:val="single" w:color="2E75B6" w:sz="1"/>
              <w:bottom w:val="single" w:color="2E75B6" w:sz="1"/>
              <w:right w:val="single" w:color="2E75B6" w:sz="1"/>
            </w:tcBorders>
            <w:shd w:fill="0D1F3C" w:val="clear"/>
            <w:tcMar>
              <w:top w:type="dxa" w:w="80"/>
              <w:left w:type="dxa" w:w="160"/>
              <w:bottom w:type="dxa" w:w="80"/>
              <w:right w:type="dxa" w:w="160"/>
            </w:tcMar>
          </w:tcPr>
          <w:p>
            <w:pPr>
              <w:jc w:val="center"/>
            </w:pPr>
            <w:r>
              <w:rPr>
                <w:rFonts w:ascii="Arial" w:cs="Arial" w:eastAsia="Arial" w:hAnsi="Arial"/>
                <w:b/>
                <w:bCs/>
                <w:color w:val="FFFFFF"/>
                <w:sz w:val="22"/>
                <w:szCs w:val="22"/>
              </w:rPr>
              <w:t xml:space="preserve">Notes</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bCs/>
                <w:color w:val="0D1F3C"/>
                <w:sz w:val="21"/>
                <w:szCs w:val="21"/>
              </w:rPr>
              <w:t xml:space="preserve">Total P&amp;L (1 yr)</w:t>
            </w:r>
          </w:p>
        </w:tc>
        <w:tc>
          <w:tcPr>
            <w:tcW w:type="dxa" w:w="3120"/>
            <w:tcBorders>
              <w:top w:val="single" w:color="CCCCCC" w:sz="1"/>
              <w:left w:val="single" w:color="CCCCCC" w:sz="1"/>
              <w:bottom w:val="single" w:color="CCCCCC" w:sz="1"/>
              <w:right w:val="single" w:color="CCCCCC" w:sz="1"/>
            </w:tcBorders>
            <w:shd w:fill="F5F5F5" w:val="clear"/>
            <w:tcMar>
              <w:top w:type="dxa" w:w="80"/>
              <w:left w:type="dxa" w:w="160"/>
              <w:bottom w:type="dxa" w:w="80"/>
              <w:right w:type="dxa" w:w="160"/>
            </w:tcMar>
          </w:tcPr>
          <w:p>
            <w:pPr>
              <w:jc w:val="center"/>
            </w:pPr>
            <w:r>
              <w:rPr>
                <w:rFonts w:ascii="Arial" w:cs="Arial" w:eastAsia="Arial" w:hAnsi="Arial"/>
                <w:b/>
                <w:bCs/>
                <w:color w:val="2E75B6"/>
                <w:sz w:val="21"/>
                <w:szCs w:val="21"/>
              </w:rPr>
              <w:t xml:space="preserve">+$18,462</w:t>
            </w:r>
          </w:p>
        </w:tc>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color w:val="444444"/>
                <w:sz w:val="20"/>
                <w:szCs w:val="20"/>
              </w:rPr>
              <w:t xml:space="preserve">Net of all commissions — upgraded settings</w:t>
            </w:r>
          </w:p>
        </w:tc>
      </w:tr>
      <w:tr>
        <w:tc>
          <w:tcPr>
            <w:tcW w:type="dxa" w:w="3120"/>
            <w:tcBorders>
              <w:top w:val="single" w:color="CCCCCC" w:sz="1"/>
              <w:left w:val="single" w:color="CCCCCC" w:sz="1"/>
              <w:bottom w:val="single" w:color="CCCCCC" w:sz="1"/>
              <w:right w:val="single" w:color="CCCCCC" w:sz="1"/>
            </w:tcBorders>
            <w:shd w:fill="EAF4FB" w:val="clear"/>
            <w:tcMar>
              <w:top w:type="dxa" w:w="80"/>
              <w:left w:type="dxa" w:w="160"/>
              <w:bottom w:type="dxa" w:w="80"/>
              <w:right w:type="dxa" w:w="160"/>
            </w:tcMar>
          </w:tcPr>
          <w:p>
            <w:r>
              <w:rPr>
                <w:rFonts w:ascii="Arial" w:cs="Arial" w:eastAsia="Arial" w:hAnsi="Arial"/>
                <w:b/>
                <w:bCs/>
                <w:color w:val="0D1F3C"/>
                <w:sz w:val="21"/>
                <w:szCs w:val="21"/>
              </w:rPr>
              <w:t xml:space="preserve">Total Trades</w:t>
            </w:r>
          </w:p>
        </w:tc>
        <w:tc>
          <w:tcPr>
            <w:tcW w:type="dxa" w:w="3120"/>
            <w:tcBorders>
              <w:top w:val="single" w:color="CCCCCC" w:sz="1"/>
              <w:left w:val="single" w:color="CCCCCC" w:sz="1"/>
              <w:bottom w:val="single" w:color="CCCCCC" w:sz="1"/>
              <w:right w:val="single" w:color="CCCCCC" w:sz="1"/>
            </w:tcBorders>
            <w:shd w:fill="EAF4FB" w:val="clear"/>
            <w:tcMar>
              <w:top w:type="dxa" w:w="80"/>
              <w:left w:type="dxa" w:w="160"/>
              <w:bottom w:type="dxa" w:w="80"/>
              <w:right w:type="dxa" w:w="160"/>
            </w:tcMar>
          </w:tcPr>
          <w:p>
            <w:pPr>
              <w:jc w:val="center"/>
            </w:pPr>
            <w:r>
              <w:rPr>
                <w:rFonts w:ascii="Arial" w:cs="Arial" w:eastAsia="Arial" w:hAnsi="Arial"/>
                <w:b/>
                <w:bCs/>
                <w:color w:val="2E75B6"/>
                <w:sz w:val="21"/>
                <w:szCs w:val="21"/>
              </w:rPr>
              <w:t xml:space="preserve">1,273</w:t>
            </w:r>
          </w:p>
        </w:tc>
        <w:tc>
          <w:tcPr>
            <w:tcW w:type="dxa" w:w="3120"/>
            <w:tcBorders>
              <w:top w:val="single" w:color="CCCCCC" w:sz="1"/>
              <w:left w:val="single" w:color="CCCCCC" w:sz="1"/>
              <w:bottom w:val="single" w:color="CCCCCC" w:sz="1"/>
              <w:right w:val="single" w:color="CCCCCC" w:sz="1"/>
            </w:tcBorders>
            <w:shd w:fill="EAF4FB" w:val="clear"/>
            <w:tcMar>
              <w:top w:type="dxa" w:w="80"/>
              <w:left w:type="dxa" w:w="160"/>
              <w:bottom w:type="dxa" w:w="80"/>
              <w:right w:type="dxa" w:w="160"/>
            </w:tcMar>
          </w:tcPr>
          <w:p>
            <w:r>
              <w:rPr>
                <w:rFonts w:ascii="Arial" w:cs="Arial" w:eastAsia="Arial" w:hAnsi="Arial"/>
                <w:color w:val="444444"/>
                <w:sz w:val="20"/>
                <w:szCs w:val="20"/>
              </w:rPr>
              <w:t xml:space="preserve">Mar 2025 – Mar 2026</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bCs/>
                <w:color w:val="0D1F3C"/>
                <w:sz w:val="21"/>
                <w:szCs w:val="21"/>
              </w:rPr>
              <w:t xml:space="preserve">Win Rate</w:t>
            </w:r>
          </w:p>
        </w:tc>
        <w:tc>
          <w:tcPr>
            <w:tcW w:type="dxa" w:w="3120"/>
            <w:tcBorders>
              <w:top w:val="single" w:color="CCCCCC" w:sz="1"/>
              <w:left w:val="single" w:color="CCCCCC" w:sz="1"/>
              <w:bottom w:val="single" w:color="CCCCCC" w:sz="1"/>
              <w:right w:val="single" w:color="CCCCCC" w:sz="1"/>
            </w:tcBorders>
            <w:shd w:fill="F5F5F5" w:val="clear"/>
            <w:tcMar>
              <w:top w:type="dxa" w:w="80"/>
              <w:left w:type="dxa" w:w="160"/>
              <w:bottom w:type="dxa" w:w="80"/>
              <w:right w:type="dxa" w:w="160"/>
            </w:tcMar>
          </w:tcPr>
          <w:p>
            <w:pPr>
              <w:jc w:val="center"/>
            </w:pPr>
            <w:r>
              <w:rPr>
                <w:rFonts w:ascii="Arial" w:cs="Arial" w:eastAsia="Arial" w:hAnsi="Arial"/>
                <w:b/>
                <w:bCs/>
                <w:color w:val="2E75B6"/>
                <w:sz w:val="21"/>
                <w:szCs w:val="21"/>
              </w:rPr>
              <w:t xml:space="preserve">81.1%</w:t>
            </w:r>
          </w:p>
        </w:tc>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color w:val="444444"/>
                <w:sz w:val="20"/>
                <w:szCs w:val="20"/>
              </w:rPr>
              <w:t xml:space="preserve">Lower than fixed SL due to trail letting trades run</w:t>
            </w:r>
          </w:p>
        </w:tc>
      </w:tr>
      <w:tr>
        <w:tc>
          <w:tcPr>
            <w:tcW w:type="dxa" w:w="3120"/>
            <w:tcBorders>
              <w:top w:val="single" w:color="CCCCCC" w:sz="1"/>
              <w:left w:val="single" w:color="CCCCCC" w:sz="1"/>
              <w:bottom w:val="single" w:color="CCCCCC" w:sz="1"/>
              <w:right w:val="single" w:color="CCCCCC" w:sz="1"/>
            </w:tcBorders>
            <w:shd w:fill="EAF4FB" w:val="clear"/>
            <w:tcMar>
              <w:top w:type="dxa" w:w="80"/>
              <w:left w:type="dxa" w:w="160"/>
              <w:bottom w:type="dxa" w:w="80"/>
              <w:right w:type="dxa" w:w="160"/>
            </w:tcMar>
          </w:tcPr>
          <w:p>
            <w:r>
              <w:rPr>
                <w:rFonts w:ascii="Arial" w:cs="Arial" w:eastAsia="Arial" w:hAnsi="Arial"/>
                <w:b/>
                <w:bCs/>
                <w:color w:val="0D1F3C"/>
                <w:sz w:val="21"/>
                <w:szCs w:val="21"/>
              </w:rPr>
              <w:t xml:space="preserve">Profit Factor</w:t>
            </w:r>
          </w:p>
        </w:tc>
        <w:tc>
          <w:tcPr>
            <w:tcW w:type="dxa" w:w="3120"/>
            <w:tcBorders>
              <w:top w:val="single" w:color="CCCCCC" w:sz="1"/>
              <w:left w:val="single" w:color="CCCCCC" w:sz="1"/>
              <w:bottom w:val="single" w:color="CCCCCC" w:sz="1"/>
              <w:right w:val="single" w:color="CCCCCC" w:sz="1"/>
            </w:tcBorders>
            <w:shd w:fill="EAF4FB" w:val="clear"/>
            <w:tcMar>
              <w:top w:type="dxa" w:w="80"/>
              <w:left w:type="dxa" w:w="160"/>
              <w:bottom w:type="dxa" w:w="80"/>
              <w:right w:type="dxa" w:w="160"/>
            </w:tcMar>
          </w:tcPr>
          <w:p>
            <w:pPr>
              <w:jc w:val="center"/>
            </w:pPr>
            <w:r>
              <w:rPr>
                <w:rFonts w:ascii="Arial" w:cs="Arial" w:eastAsia="Arial" w:hAnsi="Arial"/>
                <w:b/>
                <w:bCs/>
                <w:color w:val="2E75B6"/>
                <w:sz w:val="21"/>
                <w:szCs w:val="21"/>
              </w:rPr>
              <w:t xml:space="preserve">1.212</w:t>
            </w:r>
          </w:p>
        </w:tc>
        <w:tc>
          <w:tcPr>
            <w:tcW w:type="dxa" w:w="3120"/>
            <w:tcBorders>
              <w:top w:val="single" w:color="CCCCCC" w:sz="1"/>
              <w:left w:val="single" w:color="CCCCCC" w:sz="1"/>
              <w:bottom w:val="single" w:color="CCCCCC" w:sz="1"/>
              <w:right w:val="single" w:color="CCCCCC" w:sz="1"/>
            </w:tcBorders>
            <w:shd w:fill="EAF4FB" w:val="clear"/>
            <w:tcMar>
              <w:top w:type="dxa" w:w="80"/>
              <w:left w:type="dxa" w:w="160"/>
              <w:bottom w:type="dxa" w:w="80"/>
              <w:right w:type="dxa" w:w="160"/>
            </w:tcMar>
          </w:tcPr>
          <w:p>
            <w:r>
              <w:rPr>
                <w:rFonts w:ascii="Arial" w:cs="Arial" w:eastAsia="Arial" w:hAnsi="Arial"/>
                <w:color w:val="444444"/>
                <w:sz w:val="20"/>
                <w:szCs w:val="20"/>
              </w:rPr>
              <w:t xml:space="preserve">Improved from 1.173 with trailing SL</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bCs/>
                <w:color w:val="0D1F3C"/>
                <w:sz w:val="21"/>
                <w:szCs w:val="21"/>
              </w:rPr>
              <w:t xml:space="preserve">Avg Winning Trade</w:t>
            </w:r>
          </w:p>
        </w:tc>
        <w:tc>
          <w:tcPr>
            <w:tcW w:type="dxa" w:w="3120"/>
            <w:tcBorders>
              <w:top w:val="single" w:color="CCCCCC" w:sz="1"/>
              <w:left w:val="single" w:color="CCCCCC" w:sz="1"/>
              <w:bottom w:val="single" w:color="CCCCCC" w:sz="1"/>
              <w:right w:val="single" w:color="CCCCCC" w:sz="1"/>
            </w:tcBorders>
            <w:shd w:fill="F5F5F5" w:val="clear"/>
            <w:tcMar>
              <w:top w:type="dxa" w:w="80"/>
              <w:left w:type="dxa" w:w="160"/>
              <w:bottom w:type="dxa" w:w="80"/>
              <w:right w:type="dxa" w:w="160"/>
            </w:tcMar>
          </w:tcPr>
          <w:p>
            <w:pPr>
              <w:jc w:val="center"/>
            </w:pPr>
            <w:r>
              <w:rPr>
                <w:rFonts w:ascii="Arial" w:cs="Arial" w:eastAsia="Arial" w:hAnsi="Arial"/>
                <w:b/>
                <w:bCs/>
                <w:color w:val="2E75B6"/>
                <w:sz w:val="21"/>
                <w:szCs w:val="21"/>
              </w:rPr>
              <w:t xml:space="preserve">+$102.47</w:t>
            </w:r>
          </w:p>
        </w:tc>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color w:val="444444"/>
                <w:sz w:val="20"/>
                <w:szCs w:val="20"/>
              </w:rPr>
              <w:t xml:space="preserve">Trail takes smaller but more frequent wins</w:t>
            </w:r>
          </w:p>
        </w:tc>
      </w:tr>
      <w:tr>
        <w:tc>
          <w:tcPr>
            <w:tcW w:type="dxa" w:w="3120"/>
            <w:tcBorders>
              <w:top w:val="single" w:color="CCCCCC" w:sz="1"/>
              <w:left w:val="single" w:color="CCCCCC" w:sz="1"/>
              <w:bottom w:val="single" w:color="CCCCCC" w:sz="1"/>
              <w:right w:val="single" w:color="CCCCCC" w:sz="1"/>
            </w:tcBorders>
            <w:shd w:fill="EAF4FB" w:val="clear"/>
            <w:tcMar>
              <w:top w:type="dxa" w:w="80"/>
              <w:left w:type="dxa" w:w="160"/>
              <w:bottom w:type="dxa" w:w="80"/>
              <w:right w:type="dxa" w:w="160"/>
            </w:tcMar>
          </w:tcPr>
          <w:p>
            <w:r>
              <w:rPr>
                <w:rFonts w:ascii="Arial" w:cs="Arial" w:eastAsia="Arial" w:hAnsi="Arial"/>
                <w:b/>
                <w:bCs/>
                <w:color w:val="0D1F3C"/>
                <w:sz w:val="21"/>
                <w:szCs w:val="21"/>
              </w:rPr>
              <w:t xml:space="preserve">Avg Losing Trade</w:t>
            </w:r>
          </w:p>
        </w:tc>
        <w:tc>
          <w:tcPr>
            <w:tcW w:type="dxa" w:w="3120"/>
            <w:tcBorders>
              <w:top w:val="single" w:color="CCCCCC" w:sz="1"/>
              <w:left w:val="single" w:color="CCCCCC" w:sz="1"/>
              <w:bottom w:val="single" w:color="CCCCCC" w:sz="1"/>
              <w:right w:val="single" w:color="CCCCCC" w:sz="1"/>
            </w:tcBorders>
            <w:shd w:fill="EAF4FB" w:val="clear"/>
            <w:tcMar>
              <w:top w:type="dxa" w:w="80"/>
              <w:left w:type="dxa" w:w="160"/>
              <w:bottom w:type="dxa" w:w="80"/>
              <w:right w:type="dxa" w:w="160"/>
            </w:tcMar>
          </w:tcPr>
          <w:p>
            <w:pPr>
              <w:jc w:val="center"/>
            </w:pPr>
            <w:r>
              <w:rPr>
                <w:rFonts w:ascii="Arial" w:cs="Arial" w:eastAsia="Arial" w:hAnsi="Arial"/>
                <w:b/>
                <w:bCs/>
                <w:color w:val="2E75B6"/>
                <w:sz w:val="21"/>
                <w:szCs w:val="21"/>
              </w:rPr>
              <w:t xml:space="preserve">-$362.18</w:t>
            </w:r>
          </w:p>
        </w:tc>
        <w:tc>
          <w:tcPr>
            <w:tcW w:type="dxa" w:w="3120"/>
            <w:tcBorders>
              <w:top w:val="single" w:color="CCCCCC" w:sz="1"/>
              <w:left w:val="single" w:color="CCCCCC" w:sz="1"/>
              <w:bottom w:val="single" w:color="CCCCCC" w:sz="1"/>
              <w:right w:val="single" w:color="CCCCCC" w:sz="1"/>
            </w:tcBorders>
            <w:shd w:fill="EAF4FB" w:val="clear"/>
            <w:tcMar>
              <w:top w:type="dxa" w:w="80"/>
              <w:left w:type="dxa" w:w="160"/>
              <w:bottom w:type="dxa" w:w="80"/>
              <w:right w:type="dxa" w:w="160"/>
            </w:tcMar>
          </w:tcPr>
          <w:p>
            <w:r>
              <w:rPr>
                <w:rFonts w:ascii="Arial" w:cs="Arial" w:eastAsia="Arial" w:hAnsi="Arial"/>
                <w:color w:val="444444"/>
                <w:sz w:val="20"/>
                <w:szCs w:val="20"/>
              </w:rPr>
              <w:t xml:space="preserve">60% smaller than original fixed SL (-$906)</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bCs/>
                <w:color w:val="0D1F3C"/>
                <w:sz w:val="21"/>
                <w:szCs w:val="21"/>
              </w:rPr>
              <w:t xml:space="preserve">Max Consec. Wins</w:t>
            </w:r>
          </w:p>
        </w:tc>
        <w:tc>
          <w:tcPr>
            <w:tcW w:type="dxa" w:w="3120"/>
            <w:tcBorders>
              <w:top w:val="single" w:color="CCCCCC" w:sz="1"/>
              <w:left w:val="single" w:color="CCCCCC" w:sz="1"/>
              <w:bottom w:val="single" w:color="CCCCCC" w:sz="1"/>
              <w:right w:val="single" w:color="CCCCCC" w:sz="1"/>
            </w:tcBorders>
            <w:shd w:fill="F5F5F5" w:val="clear"/>
            <w:tcMar>
              <w:top w:type="dxa" w:w="80"/>
              <w:left w:type="dxa" w:w="160"/>
              <w:bottom w:type="dxa" w:w="80"/>
              <w:right w:type="dxa" w:w="160"/>
            </w:tcMar>
          </w:tcPr>
          <w:p>
            <w:pPr>
              <w:jc w:val="center"/>
            </w:pPr>
            <w:r>
              <w:rPr>
                <w:rFonts w:ascii="Arial" w:cs="Arial" w:eastAsia="Arial" w:hAnsi="Arial"/>
                <w:b/>
                <w:bCs/>
                <w:color w:val="2E75B6"/>
                <w:sz w:val="21"/>
                <w:szCs w:val="21"/>
              </w:rPr>
              <w:t xml:space="preserve">29</w:t>
            </w:r>
          </w:p>
        </w:tc>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color w:val="444444"/>
                <w:sz w:val="20"/>
                <w:szCs w:val="20"/>
              </w:rPr>
              <w:t xml:space="preserve">Strong streak consistency maintained</w:t>
            </w:r>
          </w:p>
        </w:tc>
      </w:tr>
      <w:tr>
        <w:tc>
          <w:tcPr>
            <w:tcW w:type="dxa" w:w="3120"/>
            <w:tcBorders>
              <w:top w:val="single" w:color="CCCCCC" w:sz="1"/>
              <w:left w:val="single" w:color="CCCCCC" w:sz="1"/>
              <w:bottom w:val="single" w:color="CCCCCC" w:sz="1"/>
              <w:right w:val="single" w:color="CCCCCC" w:sz="1"/>
            </w:tcBorders>
            <w:shd w:fill="EAF4FB" w:val="clear"/>
            <w:tcMar>
              <w:top w:type="dxa" w:w="80"/>
              <w:left w:type="dxa" w:w="160"/>
              <w:bottom w:type="dxa" w:w="80"/>
              <w:right w:type="dxa" w:w="160"/>
            </w:tcMar>
          </w:tcPr>
          <w:p>
            <w:r>
              <w:rPr>
                <w:rFonts w:ascii="Arial" w:cs="Arial" w:eastAsia="Arial" w:hAnsi="Arial"/>
                <w:b/>
                <w:bCs/>
                <w:color w:val="0D1F3C"/>
                <w:sz w:val="21"/>
                <w:szCs w:val="21"/>
              </w:rPr>
              <w:t xml:space="preserve">Max Consec. Losses</w:t>
            </w:r>
          </w:p>
        </w:tc>
        <w:tc>
          <w:tcPr>
            <w:tcW w:type="dxa" w:w="3120"/>
            <w:tcBorders>
              <w:top w:val="single" w:color="CCCCCC" w:sz="1"/>
              <w:left w:val="single" w:color="CCCCCC" w:sz="1"/>
              <w:bottom w:val="single" w:color="CCCCCC" w:sz="1"/>
              <w:right w:val="single" w:color="CCCCCC" w:sz="1"/>
            </w:tcBorders>
            <w:shd w:fill="EAF4FB" w:val="clear"/>
            <w:tcMar>
              <w:top w:type="dxa" w:w="80"/>
              <w:left w:type="dxa" w:w="160"/>
              <w:bottom w:type="dxa" w:w="80"/>
              <w:right w:type="dxa" w:w="160"/>
            </w:tcMar>
          </w:tcPr>
          <w:p>
            <w:pPr>
              <w:jc w:val="center"/>
            </w:pPr>
            <w:r>
              <w:rPr>
                <w:rFonts w:ascii="Arial" w:cs="Arial" w:eastAsia="Arial" w:hAnsi="Arial"/>
                <w:b/>
                <w:bCs/>
                <w:color w:val="2E75B6"/>
                <w:sz w:val="21"/>
                <w:szCs w:val="21"/>
              </w:rPr>
              <w:t xml:space="preserve">5</w:t>
            </w:r>
          </w:p>
        </w:tc>
        <w:tc>
          <w:tcPr>
            <w:tcW w:type="dxa" w:w="3120"/>
            <w:tcBorders>
              <w:top w:val="single" w:color="CCCCCC" w:sz="1"/>
              <w:left w:val="single" w:color="CCCCCC" w:sz="1"/>
              <w:bottom w:val="single" w:color="CCCCCC" w:sz="1"/>
              <w:right w:val="single" w:color="CCCCCC" w:sz="1"/>
            </w:tcBorders>
            <w:shd w:fill="EAF4FB" w:val="clear"/>
            <w:tcMar>
              <w:top w:type="dxa" w:w="80"/>
              <w:left w:type="dxa" w:w="160"/>
              <w:bottom w:type="dxa" w:w="80"/>
              <w:right w:type="dxa" w:w="160"/>
            </w:tcMar>
          </w:tcPr>
          <w:p>
            <w:r>
              <w:rPr>
                <w:rFonts w:ascii="Arial" w:cs="Arial" w:eastAsia="Arial" w:hAnsi="Arial"/>
                <w:color w:val="444444"/>
                <w:sz w:val="20"/>
                <w:szCs w:val="20"/>
              </w:rPr>
              <w:t xml:space="preserve">Increased slightly due to trailing SL behaviour</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bCs/>
                <w:color w:val="0D1F3C"/>
                <w:sz w:val="21"/>
                <w:szCs w:val="21"/>
              </w:rPr>
              <w:t xml:space="preserve">Max Drawdown</w:t>
            </w:r>
          </w:p>
        </w:tc>
        <w:tc>
          <w:tcPr>
            <w:tcW w:type="dxa" w:w="3120"/>
            <w:tcBorders>
              <w:top w:val="single" w:color="CCCCCC" w:sz="1"/>
              <w:left w:val="single" w:color="CCCCCC" w:sz="1"/>
              <w:bottom w:val="single" w:color="CCCCCC" w:sz="1"/>
              <w:right w:val="single" w:color="CCCCCC" w:sz="1"/>
            </w:tcBorders>
            <w:shd w:fill="F5F5F5" w:val="clear"/>
            <w:tcMar>
              <w:top w:type="dxa" w:w="80"/>
              <w:left w:type="dxa" w:w="160"/>
              <w:bottom w:type="dxa" w:w="80"/>
              <w:right w:type="dxa" w:w="160"/>
            </w:tcMar>
          </w:tcPr>
          <w:p>
            <w:pPr>
              <w:jc w:val="center"/>
            </w:pPr>
            <w:r>
              <w:rPr>
                <w:rFonts w:ascii="Arial" w:cs="Arial" w:eastAsia="Arial" w:hAnsi="Arial"/>
                <w:b/>
                <w:bCs/>
                <w:color w:val="2E75B6"/>
                <w:sz w:val="21"/>
                <w:szCs w:val="21"/>
              </w:rPr>
              <w:t xml:space="preserve">$8,226 (0.81%)</w:t>
            </w:r>
          </w:p>
        </w:tc>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color w:val="444444"/>
                <w:sz w:val="20"/>
                <w:szCs w:val="20"/>
              </w:rPr>
              <w:t xml:space="preserve">Higher than original — monitor duration exits</w:t>
            </w:r>
          </w:p>
        </w:tc>
      </w:tr>
    </w:tbl>
    <w:p>
      <w:pPr>
        <w:spacing w:before="0"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E75B6" w:sz="1"/>
              <w:left w:val="single" w:color="2E75B6" w:sz="1"/>
              <w:bottom w:val="single" w:color="2E75B6" w:sz="1"/>
              <w:right w:val="single" w:color="2E75B6" w:sz="1"/>
            </w:tcBorders>
            <w:shd w:fill="EAF4FB" w:val="clear"/>
            <w:tcMar>
              <w:top w:type="dxa" w:w="140"/>
              <w:left w:type="dxa" w:w="200"/>
              <w:bottom w:type="dxa" w:w="140"/>
              <w:right w:type="dxa" w:w="200"/>
            </w:tcMar>
          </w:tcPr>
          <w:p>
            <w:pPr>
              <w:spacing w:after="60"/>
            </w:pPr>
            <w:r>
              <w:rPr>
                <w:rFonts w:ascii="Arial" w:cs="Arial" w:eastAsia="Arial" w:hAnsi="Arial"/>
                <w:b/>
                <w:bCs/>
                <w:color w:val="2E75B6"/>
                <w:sz w:val="22"/>
                <w:szCs w:val="22"/>
              </w:rPr>
              <w:t xml:space="preserve">Key improvement</w:t>
            </w:r>
          </w:p>
          <w:p>
            <w:pPr>
              <w:spacing w:after="0"/>
            </w:pPr>
            <w:r>
              <w:rPr>
                <w:rFonts w:ascii="Arial" w:cs="Arial" w:eastAsia="Arial" w:hAnsi="Arial"/>
                <w:color w:val="444444"/>
                <w:sz w:val="21"/>
                <w:szCs w:val="21"/>
              </w:rPr>
              <w:t xml:space="preserve">Switching to the Trailing SL setting increased 12-month P&amp;L from $13,503 to $18,462 (+37%) while reducing the average losing trade from -$906 to -$362 (60% improvement). The trailing SL lets profitable trades run further before locking in, capturing more of each winning move.</w:t>
            </w:r>
          </w:p>
        </w:tc>
      </w:tr>
    </w:tbl>
    <w:p>
      <w:pPr>
        <w:spacing w:before="0" w:after="200"/>
      </w:pPr>
      <w:r>
        <w:t xml:space="preserve"/>
      </w:r>
    </w:p>
    <w:p>
      <w:r>
        <w:br w:type="page"/>
      </w:r>
    </w:p>
    <w:p>
      <w:pPr>
        <w:pStyle w:val="Heading1"/>
        <w:pBdr>
          <w:bottom w:val="single" w:color="2E75B6" w:sz="4" w:space="1"/>
        </w:pBdr>
        <w:shd w:fill="0D1F3C" w:val="clear"/>
        <w:spacing w:before="0" w:after="200"/>
        <w:ind w:left="280" w:right="280"/>
      </w:pPr>
      <w:r>
        <w:rPr>
          <w:rFonts w:ascii="Arial" w:cs="Arial" w:eastAsia="Arial" w:hAnsi="Arial"/>
          <w:b/>
          <w:bCs/>
          <w:color w:val="FFFFFF"/>
          <w:sz w:val="36"/>
          <w:szCs w:val="36"/>
        </w:rPr>
        <w:t xml:space="preserve">2.  The Six Signal Types</w:t>
      </w:r>
    </w:p>
    <w:p>
      <w:pPr>
        <w:spacing w:before="0" w:after="100"/>
      </w:pPr>
      <w:r>
        <w:t xml:space="preserve"/>
      </w:r>
    </w:p>
    <w:p>
      <w:pPr>
        <w:spacing w:before="80" w:after="100"/>
      </w:pPr>
      <w:r>
        <w:rPr>
          <w:rFonts w:ascii="Arial" w:cs="Arial" w:eastAsia="Arial" w:hAnsi="Arial"/>
          <w:color w:val="444444"/>
          <w:sz w:val="22"/>
          <w:szCs w:val="22"/>
        </w:rPr>
        <w:t xml:space="preserve">The strategy uses six candlestick patterns to confirm a reversal at a key level. A trade is only entered when price is within the Level Touch Zone AND one of these patterns forms. Each can be toggled independently.</w:t>
      </w:r>
    </w:p>
    <w:p>
      <w:pPr>
        <w:spacing w:before="0" w:after="14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1.  Pin Bar Rejection</w:t>
      </w:r>
    </w:p>
    <w:p>
      <w:pPr>
        <w:spacing w:before="80" w:after="100"/>
      </w:pPr>
      <w:r>
        <w:rPr>
          <w:rFonts w:ascii="Arial" w:cs="Arial" w:eastAsia="Arial" w:hAnsi="Arial"/>
          <w:color w:val="444444"/>
          <w:sz w:val="22"/>
          <w:szCs w:val="22"/>
        </w:rPr>
        <w:t xml:space="preserve">A candle with a long wick pointing toward the level and a small body. Bullish pin: long lower wick rejecting support. Bearish pin: long upper wick rejecting resistance. Wick must be at least 2x the body; opposite wick under 0.5x body.</w:t>
      </w:r>
    </w:p>
    <w:p>
      <w:pPr>
        <w:spacing w:before="0" w:after="10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2.  Bearish / Bullish Engulfing</w:t>
      </w:r>
    </w:p>
    <w:p>
      <w:pPr>
        <w:spacing w:before="80" w:after="100"/>
      </w:pPr>
      <w:r>
        <w:rPr>
          <w:rFonts w:ascii="Arial" w:cs="Arial" w:eastAsia="Arial" w:hAnsi="Arial"/>
          <w:color w:val="444444"/>
          <w:sz w:val="22"/>
          <w:szCs w:val="22"/>
        </w:rPr>
        <w:t xml:space="preserve">A candle that completely engulfs the prior candle's body, signalling a momentum shift. Four types: Basic (body engulf), Strict (full range including wicks), Large Body (body &gt;60% of range), Volume Confirmed (above-average volume). Strict is recommended for NQ/MNQ.</w:t>
      </w:r>
    </w:p>
    <w:p>
      <w:pPr>
        <w:spacing w:before="0" w:after="10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3.  3-Candle Reversal</w:t>
      </w:r>
    </w:p>
    <w:p>
      <w:pPr>
        <w:spacing w:before="80" w:after="100"/>
      </w:pPr>
      <w:r>
        <w:rPr>
          <w:rFonts w:ascii="Arial" w:cs="Arial" w:eastAsia="Arial" w:hAnsi="Arial"/>
          <w:color w:val="444444"/>
          <w:sz w:val="22"/>
          <w:szCs w:val="22"/>
        </w:rPr>
        <w:t xml:space="preserve">Three consecutive candles building in one direction followed by a reversal candle closing past the second candle's open. Confirms a short-term trend has exhausted at a level.</w:t>
      </w:r>
    </w:p>
    <w:p>
      <w:pPr>
        <w:spacing w:before="0" w:after="10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4.  Liquidity Sweep + Return</w:t>
      </w:r>
    </w:p>
    <w:p>
      <w:pPr>
        <w:spacing w:before="80" w:after="100"/>
      </w:pPr>
      <w:r>
        <w:rPr>
          <w:rFonts w:ascii="Arial" w:cs="Arial" w:eastAsia="Arial" w:hAnsi="Arial"/>
          <w:color w:val="444444"/>
          <w:sz w:val="22"/>
          <w:szCs w:val="22"/>
        </w:rPr>
        <w:t xml:space="preserve">Price briefly pierces through a key level (sweeping stop losses) then closes back on the other side. One of the highest-probability signals — represents a deliberate institutional move to trigger stops before reversing.</w:t>
      </w:r>
    </w:p>
    <w:p>
      <w:pPr>
        <w:spacing w:before="0" w:after="10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5.  Morning Star / Evening Star</w:t>
      </w:r>
    </w:p>
    <w:p>
      <w:pPr>
        <w:spacing w:before="80" w:after="100"/>
      </w:pPr>
      <w:r>
        <w:rPr>
          <w:rFonts w:ascii="Arial" w:cs="Arial" w:eastAsia="Arial" w:hAnsi="Arial"/>
          <w:color w:val="444444"/>
          <w:sz w:val="22"/>
          <w:szCs w:val="22"/>
        </w:rPr>
        <w:t xml:space="preserve">A three-candle pattern: strong candle in one direction, small doji/indecision at the level, then strong reversal candle. Rarer but very accurate when it forms at a key level.</w:t>
      </w:r>
    </w:p>
    <w:p>
      <w:pPr>
        <w:spacing w:before="0" w:after="10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6.  Momentum Candle  ★ New</w:t>
      </w:r>
    </w:p>
    <w:p>
      <w:pPr>
        <w:spacing w:before="80" w:after="100"/>
      </w:pPr>
      <w:r>
        <w:rPr>
          <w:rFonts w:ascii="Arial" w:cs="Arial" w:eastAsia="Arial" w:hAnsi="Arial"/>
          <w:color w:val="444444"/>
          <w:sz w:val="22"/>
          <w:szCs w:val="22"/>
        </w:rPr>
        <w:t xml:space="preserve">A large-bodied candle at a key level whose body is at least 1.5x the 10-bar average body size (adjustable). Catches breakout-style moves into a level, adding a complementary entry type alongside the reversal patterns. Raise the multiplier to 2.0 for high-conviction entries only.</w:t>
      </w:r>
    </w:p>
    <w:p>
      <w:pPr>
        <w:spacing w:before="0" w:after="200"/>
      </w:pPr>
      <w:r>
        <w:t xml:space="preserve"/>
      </w:r>
    </w:p>
    <w:p>
      <w:r>
        <w:br w:type="page"/>
      </w:r>
    </w:p>
    <w:p>
      <w:pPr>
        <w:pStyle w:val="Heading1"/>
        <w:pBdr>
          <w:bottom w:val="single" w:color="2E75B6" w:sz="4" w:space="1"/>
        </w:pBdr>
        <w:shd w:fill="0D1F3C" w:val="clear"/>
        <w:spacing w:before="0" w:after="200"/>
        <w:ind w:left="280" w:right="280"/>
      </w:pPr>
      <w:r>
        <w:rPr>
          <w:rFonts w:ascii="Arial" w:cs="Arial" w:eastAsia="Arial" w:hAnsi="Arial"/>
          <w:b/>
          <w:bCs/>
          <w:color w:val="FFFFFF"/>
          <w:sz w:val="36"/>
          <w:szCs w:val="36"/>
        </w:rPr>
        <w:t xml:space="preserve">3.  Complete Settings Reference</w:t>
      </w:r>
    </w:p>
    <w:p>
      <w:pPr>
        <w:spacing w:before="0" w:after="100"/>
      </w:pPr>
      <w:r>
        <w:t xml:space="preserve"/>
      </w:r>
    </w:p>
    <w:p>
      <w:pPr>
        <w:pStyle w:val="Heading2"/>
        <w:shd w:fill="1E3A5F" w:val="clear"/>
        <w:spacing w:before="360" w:after="160"/>
        <w:ind w:left="200" w:right="200"/>
      </w:pPr>
      <w:r>
        <w:rPr>
          <w:rFonts w:ascii="Arial" w:cs="Arial" w:eastAsia="Arial" w:hAnsi="Arial"/>
          <w:b/>
          <w:bCs/>
          <w:color w:val="FFFFFF"/>
          <w:sz w:val="28"/>
          <w:szCs w:val="28"/>
        </w:rPr>
        <w:t xml:space="preserve">3.1  Key Levels</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1800"/>
        <w:gridCol w:w="4360"/>
      </w:tblGrid>
      <w:tr>
        <w:tc>
          <w:tcPr>
            <w:tcW w:type="dxa" w:w="32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Setting</w:t>
            </w:r>
          </w:p>
        </w:tc>
        <w:tc>
          <w:tcPr>
            <w:tcW w:type="dxa" w:w="18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Default</w:t>
            </w:r>
          </w:p>
        </w:tc>
        <w:tc>
          <w:tcPr>
            <w:tcW w:type="dxa" w:w="436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What it does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Use Previous Day High</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Draws PDH and includes it in signal detection.</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Use Previous Day Low</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Draws PDL and includes it in signal detection.</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Use Previous Week High</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Draws PWH — most useful at the start of each week.</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Use Previous Week Low</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Draws PWL.</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Use Previous Month High</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Draws PMH — major structural level.</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Use Previous Month Low</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Draws PML.</w:t>
            </w:r>
          </w:p>
        </w:tc>
      </w:tr>
    </w:tbl>
    <w:p>
      <w:pPr>
        <w:spacing w:before="0" w:after="200"/>
      </w:pPr>
      <w:r>
        <w:t xml:space="preserve"/>
      </w:r>
    </w:p>
    <w:p>
      <w:pPr>
        <w:pStyle w:val="Heading2"/>
        <w:shd w:fill="1E3A5F" w:val="clear"/>
        <w:spacing w:before="360" w:after="160"/>
        <w:ind w:left="200" w:right="200"/>
      </w:pPr>
      <w:r>
        <w:rPr>
          <w:rFonts w:ascii="Arial" w:cs="Arial" w:eastAsia="Arial" w:hAnsi="Arial"/>
          <w:b/>
          <w:bCs/>
          <w:color w:val="FFFFFF"/>
          <w:sz w:val="28"/>
          <w:szCs w:val="28"/>
        </w:rPr>
        <w:t xml:space="preserve">3.2  Signal Types</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1800"/>
        <w:gridCol w:w="4360"/>
      </w:tblGrid>
      <w:tr>
        <w:tc>
          <w:tcPr>
            <w:tcW w:type="dxa" w:w="32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Setting</w:t>
            </w:r>
          </w:p>
        </w:tc>
        <w:tc>
          <w:tcPr>
            <w:tcW w:type="dxa" w:w="18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Default</w:t>
            </w:r>
          </w:p>
        </w:tc>
        <w:tc>
          <w:tcPr>
            <w:tcW w:type="dxa" w:w="436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What it does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Pin Bar Rejection</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Enables pin bar entries at key levels.</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Bearish/Bullish Engulfing</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Enables engulfing candle entries.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Engulfing Type</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Strict</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Basic / Strict / Large Body / Volume Confirmed. Strict recommended for NQ/MNQ.</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3-Candle Reversal</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Enables 3-bar reversal pattern.</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Liquidity Sweep + Return</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Enables sweep entries — often the highest probability signal.</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Morning/Evening Star</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Enables 3-candle star patterns.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Momentum Candle</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Enables large-bodied candle entries at levels.</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Momentum Candle multiplier</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1.5x</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Min body size as a multiple of 10-bar avg body. Raise to require a stronger candle.</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Enable Minimum Volume Filter</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Off</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Only trade when volume exceeds N% of 20-bar average.</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Min Volume (% of avg)</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100%</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100% = at or above average. 150% = high-conviction entries only.</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Enable EMA Trend Filter</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Off</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Longs only above EMA, shorts only below. Reduces counter-trend trades.</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EMA Period</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50</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EMA length. 50 = medium-term trend. 200 = long-term bias only.</w:t>
            </w:r>
          </w:p>
        </w:tc>
      </w:tr>
    </w:tbl>
    <w:p>
      <w:pPr>
        <w:spacing w:before="0" w:after="200"/>
      </w:pPr>
      <w:r>
        <w:t xml:space="preserve"/>
      </w:r>
    </w:p>
    <w:p>
      <w:pPr>
        <w:pStyle w:val="Heading2"/>
        <w:shd w:fill="1E3A5F" w:val="clear"/>
        <w:spacing w:before="360" w:after="160"/>
        <w:ind w:left="200" w:right="200"/>
      </w:pPr>
      <w:r>
        <w:rPr>
          <w:rFonts w:ascii="Arial" w:cs="Arial" w:eastAsia="Arial" w:hAnsi="Arial"/>
          <w:b/>
          <w:bCs/>
          <w:color w:val="FFFFFF"/>
          <w:sz w:val="28"/>
          <w:szCs w:val="28"/>
        </w:rPr>
        <w:t xml:space="preserve">3.3  Risk Management</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1800"/>
        <w:gridCol w:w="4360"/>
      </w:tblGrid>
      <w:tr>
        <w:tc>
          <w:tcPr>
            <w:tcW w:type="dxa" w:w="32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Setting</w:t>
            </w:r>
          </w:p>
        </w:tc>
        <w:tc>
          <w:tcPr>
            <w:tcW w:type="dxa" w:w="18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Default</w:t>
            </w:r>
          </w:p>
        </w:tc>
        <w:tc>
          <w:tcPr>
            <w:tcW w:type="dxa" w:w="436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What it does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Stop Loss (Points)</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40</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Distance from entry to stop loss. At 40pts and 6 contracts MNQ = ~$480 max loss.</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Take Profit (Points)</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10</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Fixed TP target used when not in partial close mode.</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Level Touch Zone (Points)</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4</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How close price must be to a level to qualify for a signal.</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Stop Loss Type</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Fixed</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Fixed: static SL. Trailing: SL follows price. ATR Dynamic: SL adjusts with volatility.</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ATR Period</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14</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ATR Dynamic only. Bars used to calculate Average True Range.</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ATR Multiplier</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1.5x</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ATR Dynamic only. SL = entry ± (ATR × multiplier).</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Trailing SL — Activate after</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20pts</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Trailing only. Trail does not start until price moves this far in your favour.</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Trailing SL — Trail distance</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10pts</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Trailing only. Once active, SL trails this many points behind the high watermark.</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Enable Partial Close (TP1/TP2)</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Off</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Closes 50% at TP1, lets remainder run to TP2. Addresses the duration exit problem.</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Partial Close — TP1</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10pts</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First take profit. 50% of position closes here.</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Partial Close — TP2</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20pts</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Second take profit for the remaining 50%.</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Enable Breakeven Move</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Off</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Moves SL to entry price once price is X pts in profit.</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Breakeven — Activate after</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15pts</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Profit required before SL is moved to entry.</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Enable Re-entry Block</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Off</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Blocks new entries for X minutes after any losing trade.</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Re-entry Block — Minutes</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15</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Cooling-off period after a loss before new entries are allowed.</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Enable Win Streak Lock-in</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Off</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Tightens the trailing SL distance after N consecutive wins.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Win Streak — After N wins</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3</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Consecutive wins required before tighter trail activates.</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Win Streak — Tighter trail</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5pts</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Trail distance used once the win streak lock-in is active.</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Enable Consecutive Loss Alert</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Fires an alert after N losses in a row.</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Alert after N losses</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2</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Consecutive losses before alert fires.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Enable Daily Trade Count Limit</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Off</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Stops new entries once N trades are taken today.</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Max Trades Per Day</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10</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Maximum entries allowed per day.</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Enable Max Trade Duration</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Closes any trade still open after X minutes.</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Max Trade Duration</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20 min</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Options: 20 / 30 / 60 / 90 minutes.</w:t>
            </w:r>
          </w:p>
        </w:tc>
      </w:tr>
    </w:tbl>
    <w:p>
      <w:pPr>
        <w:spacing w:before="0" w:after="200"/>
      </w:pPr>
      <w:r>
        <w:t xml:space="preserve"/>
      </w:r>
    </w:p>
    <w:p>
      <w:pPr>
        <w:pStyle w:val="Heading2"/>
        <w:shd w:fill="1E3A5F" w:val="clear"/>
        <w:spacing w:before="360" w:after="160"/>
        <w:ind w:left="200" w:right="200"/>
      </w:pPr>
      <w:r>
        <w:rPr>
          <w:rFonts w:ascii="Arial" w:cs="Arial" w:eastAsia="Arial" w:hAnsi="Arial"/>
          <w:b/>
          <w:bCs/>
          <w:color w:val="FFFFFF"/>
          <w:sz w:val="28"/>
          <w:szCs w:val="28"/>
        </w:rPr>
        <w:t xml:space="preserve">3.4  Daily P&amp;L Limits</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1800"/>
        <w:gridCol w:w="4360"/>
      </w:tblGrid>
      <w:tr>
        <w:tc>
          <w:tcPr>
            <w:tcW w:type="dxa" w:w="32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Setting</w:t>
            </w:r>
          </w:p>
        </w:tc>
        <w:tc>
          <w:tcPr>
            <w:tcW w:type="dxa" w:w="18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Default</w:t>
            </w:r>
          </w:p>
        </w:tc>
        <w:tc>
          <w:tcPr>
            <w:tcW w:type="dxa" w:w="436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What it does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Enable Daily Profit Target</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Stops new entries and closes any open trade when daily target is hit.</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Daily Profit Target ($)</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$500</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Realised closed-trade profit threshold for the day.</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Enable Daily Loss Limit</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Stops entries and closes open trade when daily loss limit is hit.</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Daily Max Loss ($)</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$200</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Maximum daily loss before trading halts.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Enable Weekly Profit Target</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Off</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Halts trading for the week once target is reached.</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Weekly Profit Target ($)</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$2,000</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Weekly closed-trade profit threshold.</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Enable London Session Loss Limit</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Off</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Stops entries for the rest of London session if session loss exceeds limit.</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London Session Max Loss ($)</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$200</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London session loss threshold.</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Enable New York Session Loss Limit</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Off</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Stops entries for the rest of NY session if session loss exceeds limit.</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New York Session Max Loss ($)</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$200</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NY session loss threshold.</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Enable Monthly P&amp;L Tracker</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Off</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Shows monthly P&amp;L and target progress in the summary table. Display only.</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Monthly P&amp;L Target ($)</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$8,000</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Monthly target shown as progress percentage in the summary table.</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Enable News Event Blackout</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Off</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Blocks trading X minutes before and after a set daily event time.</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News Event Time</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08:30</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The recurring news event time (e.g. US CPI, NFP, FOMC).</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News Blackout Buffer</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15 mins</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Minutes blocked either side of the event (30 mins total).</w:t>
            </w:r>
          </w:p>
        </w:tc>
      </w:tr>
    </w:tbl>
    <w:p>
      <w:pPr>
        <w:spacing w:before="0" w:after="200"/>
      </w:pPr>
      <w:r>
        <w:t xml:space="preserve"/>
      </w:r>
    </w:p>
    <w:p>
      <w:pPr>
        <w:pStyle w:val="Heading2"/>
        <w:shd w:fill="1E3A5F" w:val="clear"/>
        <w:spacing w:before="360" w:after="160"/>
        <w:ind w:left="200" w:right="200"/>
      </w:pPr>
      <w:r>
        <w:rPr>
          <w:rFonts w:ascii="Arial" w:cs="Arial" w:eastAsia="Arial" w:hAnsi="Arial"/>
          <w:b/>
          <w:bCs/>
          <w:color w:val="FFFFFF"/>
          <w:sz w:val="28"/>
          <w:szCs w:val="28"/>
        </w:rPr>
        <w:t xml:space="preserve">3.5  Backtest Range</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1800"/>
        <w:gridCol w:w="4360"/>
      </w:tblGrid>
      <w:tr>
        <w:tc>
          <w:tcPr>
            <w:tcW w:type="dxa" w:w="32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Setting</w:t>
            </w:r>
          </w:p>
        </w:tc>
        <w:tc>
          <w:tcPr>
            <w:tcW w:type="dxa" w:w="18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Default</w:t>
            </w:r>
          </w:p>
        </w:tc>
        <w:tc>
          <w:tcPr>
            <w:tcW w:type="dxa" w:w="436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What it does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Enable Backtest Date Range</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Gates entries to the chosen date window.</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Start Date</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13 Mar 2023</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Earliest entry date. Set 3 years back for meaningful sample.</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End Date</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31 Dec 2099</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Latest entry date. Leave at 2099 for continuous live trading.</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Backtest Mode</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Off</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CRITICAL: Must be OFF for live trading. ON shows signals on all historical bars.</w:t>
            </w:r>
          </w:p>
        </w:tc>
      </w:tr>
    </w:tbl>
    <w:p>
      <w:pPr>
        <w:spacing w:before="0" w:after="200"/>
      </w:pPr>
      <w:r>
        <w:t xml:space="preserve"/>
      </w:r>
    </w:p>
    <w:p>
      <w:pPr>
        <w:pStyle w:val="Heading2"/>
        <w:shd w:fill="1E3A5F" w:val="clear"/>
        <w:spacing w:before="360" w:after="160"/>
        <w:ind w:left="200" w:right="200"/>
      </w:pPr>
      <w:r>
        <w:rPr>
          <w:rFonts w:ascii="Arial" w:cs="Arial" w:eastAsia="Arial" w:hAnsi="Arial"/>
          <w:b/>
          <w:bCs/>
          <w:color w:val="FFFFFF"/>
          <w:sz w:val="28"/>
          <w:szCs w:val="28"/>
        </w:rPr>
        <w:t xml:space="preserve">3.6  Trading Days</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1800"/>
        <w:gridCol w:w="4360"/>
      </w:tblGrid>
      <w:tr>
        <w:tc>
          <w:tcPr>
            <w:tcW w:type="dxa" w:w="32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Setting</w:t>
            </w:r>
          </w:p>
        </w:tc>
        <w:tc>
          <w:tcPr>
            <w:tcW w:type="dxa" w:w="18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Default</w:t>
            </w:r>
          </w:p>
        </w:tc>
        <w:tc>
          <w:tcPr>
            <w:tcW w:type="dxa" w:w="436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What it does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Monday</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Backtested positive with trailing SL (+$3,729 over 12 months).</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Tuesday</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Solid performer. Monitor — showed weakness in some 30-day windows.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Wednesday</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Off</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Consistently underperforms. Recommended to keep disabled.</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Thursday</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Strong performer — 81.5% WR over 12 months.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Friday</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Best day — consistently highest WR and P&amp;L. Never disable.</w:t>
            </w:r>
          </w:p>
        </w:tc>
      </w:tr>
    </w:tbl>
    <w:p>
      <w:pPr>
        <w:spacing w:before="0" w:after="200"/>
      </w:pPr>
      <w:r>
        <w:t xml:space="preserve"/>
      </w:r>
    </w:p>
    <w:p>
      <w:pPr>
        <w:pStyle w:val="Heading2"/>
        <w:shd w:fill="1E3A5F" w:val="clear"/>
        <w:spacing w:before="360" w:after="160"/>
        <w:ind w:left="200" w:right="200"/>
      </w:pPr>
      <w:r>
        <w:rPr>
          <w:rFonts w:ascii="Arial" w:cs="Arial" w:eastAsia="Arial" w:hAnsi="Arial"/>
          <w:b/>
          <w:bCs/>
          <w:color w:val="FFFFFF"/>
          <w:sz w:val="28"/>
          <w:szCs w:val="28"/>
        </w:rPr>
        <w:t xml:space="preserve">3.7  Trade History Table</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1800"/>
        <w:gridCol w:w="4360"/>
      </w:tblGrid>
      <w:tr>
        <w:tc>
          <w:tcPr>
            <w:tcW w:type="dxa" w:w="32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Setting</w:t>
            </w:r>
          </w:p>
        </w:tc>
        <w:tc>
          <w:tcPr>
            <w:tcW w:type="dxa" w:w="18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Default</w:t>
            </w:r>
          </w:p>
        </w:tc>
        <w:tc>
          <w:tcPr>
            <w:tcW w:type="dxa" w:w="436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What it does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Show Last 10 Trades Table</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Toggle the rolling trade history table. Resets every Monday.</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Position</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Bottom Right</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Nine snap positions. Move to avoid chart overlap.</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Text Size</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Small</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Tiny / Small / Normal / Large.</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Show Session/Week Summary Table</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Toggle the session and weekly summary table.</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Position</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Bottom Left</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Nine snap positions.</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Text Size</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Small</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Tiny / Small / Normal / Large.</w:t>
            </w:r>
          </w:p>
        </w:tc>
      </w:tr>
    </w:tbl>
    <w:p>
      <w:pPr>
        <w:spacing w:before="0" w:after="200"/>
      </w:pPr>
      <w:r>
        <w:t xml:space="preserve"/>
      </w:r>
    </w:p>
    <w:p>
      <w:pPr>
        <w:pStyle w:val="Heading2"/>
        <w:shd w:fill="1E3A5F" w:val="clear"/>
        <w:spacing w:before="360" w:after="160"/>
        <w:ind w:left="200" w:right="200"/>
      </w:pPr>
      <w:r>
        <w:rPr>
          <w:rFonts w:ascii="Arial" w:cs="Arial" w:eastAsia="Arial" w:hAnsi="Arial"/>
          <w:b/>
          <w:bCs/>
          <w:color w:val="FFFFFF"/>
          <w:sz w:val="28"/>
          <w:szCs w:val="28"/>
        </w:rPr>
        <w:t xml:space="preserve">3.8  Session Times</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1800"/>
        <w:gridCol w:w="4360"/>
      </w:tblGrid>
      <w:tr>
        <w:tc>
          <w:tcPr>
            <w:tcW w:type="dxa" w:w="32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Setting</w:t>
            </w:r>
          </w:p>
        </w:tc>
        <w:tc>
          <w:tcPr>
            <w:tcW w:type="dxa" w:w="18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Default</w:t>
            </w:r>
          </w:p>
        </w:tc>
        <w:tc>
          <w:tcPr>
            <w:tcW w:type="dxa" w:w="436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What it does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Chart Timezone</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Exchange</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Match to your broker's chart display. Options: Exchange, UTC, New York, Chicago, London, Berlin, Tokyo, Singapore, Sydney.</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London Session Times</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03:00–08:00</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Adjust to match your chart timezone for the London open.</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New York Session Times</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08:00–15:59</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Adjust to match your chart timezone for the NY open.</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Flat Time (close all)</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17:00–17:59</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All open trades force-closed at this time. Set 30–60 mins before session end.</w:t>
            </w:r>
          </w:p>
        </w:tc>
      </w:tr>
    </w:tbl>
    <w:p>
      <w:pPr>
        <w:spacing w:before="0" w:after="200"/>
      </w:pPr>
      <w:r>
        <w:t xml:space="preserve"/>
      </w:r>
    </w:p>
    <w:p>
      <w:pPr>
        <w:pStyle w:val="Heading2"/>
        <w:shd w:fill="1E3A5F" w:val="clear"/>
        <w:spacing w:before="360" w:after="160"/>
        <w:ind w:left="200" w:right="200"/>
      </w:pPr>
      <w:r>
        <w:rPr>
          <w:rFonts w:ascii="Arial" w:cs="Arial" w:eastAsia="Arial" w:hAnsi="Arial"/>
          <w:b/>
          <w:bCs/>
          <w:color w:val="FFFFFF"/>
          <w:sz w:val="28"/>
          <w:szCs w:val="28"/>
        </w:rPr>
        <w:t xml:space="preserve">3.9  Blackout Windows</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1800"/>
        <w:gridCol w:w="4360"/>
      </w:tblGrid>
      <w:tr>
        <w:tc>
          <w:tcPr>
            <w:tcW w:type="dxa" w:w="32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Setting</w:t>
            </w:r>
          </w:p>
        </w:tc>
        <w:tc>
          <w:tcPr>
            <w:tcW w:type="dxa" w:w="18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Default</w:t>
            </w:r>
          </w:p>
        </w:tc>
        <w:tc>
          <w:tcPr>
            <w:tcW w:type="dxa" w:w="436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What it does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Enable Blackout 1–4</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All Off</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Toggle each window independently.</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Blackout Times</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Custom</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Single time-range picker per slot. Set to known volatile periods.</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E75B6" w:sz="1"/>
              <w:left w:val="single" w:color="2E75B6" w:sz="1"/>
              <w:bottom w:val="single" w:color="2E75B6" w:sz="1"/>
              <w:right w:val="single" w:color="2E75B6" w:sz="1"/>
            </w:tcBorders>
            <w:shd w:fill="EAF4FB" w:val="clear"/>
            <w:tcMar>
              <w:top w:type="dxa" w:w="140"/>
              <w:left w:type="dxa" w:w="200"/>
              <w:bottom w:type="dxa" w:w="140"/>
              <w:right w:type="dxa" w:w="200"/>
            </w:tcMar>
          </w:tcPr>
          <w:p>
            <w:pPr>
              <w:spacing w:after="60"/>
            </w:pPr>
            <w:r>
              <w:rPr>
                <w:rFonts w:ascii="Arial" w:cs="Arial" w:eastAsia="Arial" w:hAnsi="Arial"/>
                <w:b/>
                <w:bCs/>
                <w:color w:val="2E75B6"/>
                <w:sz w:val="22"/>
                <w:szCs w:val="22"/>
              </w:rPr>
              <w:t xml:space="preserve">Recommended blackout</w:t>
            </w:r>
          </w:p>
          <w:p>
            <w:pPr>
              <w:spacing w:after="0"/>
            </w:pPr>
            <w:r>
              <w:rPr>
                <w:rFonts w:ascii="Arial" w:cs="Arial" w:eastAsia="Arial" w:hAnsi="Arial"/>
                <w:color w:val="444444"/>
                <w:sz w:val="21"/>
                <w:szCs w:val="21"/>
              </w:rPr>
              <w:t xml:space="preserve">Add Blackout 1 from 16:00 to your flat time to prevent late-session entries that don't have enough time to reach TP before the forced close.</w:t>
            </w:r>
          </w:p>
        </w:tc>
      </w:tr>
    </w:tbl>
    <w:p>
      <w:pPr>
        <w:spacing w:before="0" w:after="200"/>
      </w:pPr>
      <w:r>
        <w:t xml:space="preserve"/>
      </w:r>
    </w:p>
    <w:p>
      <w:r>
        <w:br w:type="page"/>
      </w:r>
    </w:p>
    <w:p>
      <w:pPr>
        <w:pStyle w:val="Heading1"/>
        <w:pBdr>
          <w:bottom w:val="single" w:color="2E75B6" w:sz="4" w:space="1"/>
        </w:pBdr>
        <w:shd w:fill="0D1F3C" w:val="clear"/>
        <w:spacing w:before="0" w:after="200"/>
        <w:ind w:left="280" w:right="280"/>
      </w:pPr>
      <w:r>
        <w:rPr>
          <w:rFonts w:ascii="Arial" w:cs="Arial" w:eastAsia="Arial" w:hAnsi="Arial"/>
          <w:b/>
          <w:bCs/>
          <w:color w:val="FFFFFF"/>
          <w:sz w:val="36"/>
          <w:szCs w:val="36"/>
        </w:rPr>
        <w:t xml:space="preserve">4.  Reading the On-Chart Tables</w:t>
      </w:r>
    </w:p>
    <w:p>
      <w:pPr>
        <w:spacing w:before="0" w:after="10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Last 10 Trades Table</w:t>
      </w:r>
    </w:p>
    <w:p>
      <w:pPr>
        <w:spacing w:before="80" w:after="100"/>
      </w:pPr>
      <w:r>
        <w:rPr>
          <w:rFonts w:ascii="Arial" w:cs="Arial" w:eastAsia="Arial" w:hAnsi="Arial"/>
          <w:color w:val="444444"/>
          <w:sz w:val="22"/>
          <w:szCs w:val="22"/>
        </w:rPr>
        <w:t xml:space="preserve">Resets every Monday. Shows the 10 most recent closed trades for the week with trade number, W/L result, individual P&amp;L, and running cumulative P&amp;L. The summary row shows today's Day P&amp;L, win rate for the week, and current bot status (TRADING / TARGET HIT / LOSS LIMIT).</w:t>
      </w:r>
    </w:p>
    <w:p>
      <w:pPr>
        <w:spacing w:before="0" w:after="14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Session &amp; Weekly Summary Table</w:t>
      </w:r>
    </w:p>
    <w:p>
      <w:pPr>
        <w:spacing w:before="80" w:after="100"/>
      </w:pPr>
      <w:r>
        <w:rPr>
          <w:rFonts w:ascii="Arial" w:cs="Arial" w:eastAsia="Arial" w:hAnsi="Arial"/>
          <w:color w:val="444444"/>
          <w:sz w:val="22"/>
          <w:szCs w:val="22"/>
        </w:rPr>
        <w:t xml:space="preserve">The top banner row is the most important — it shows the master bot status in colour at a glance. Below that are rows for London session, New York session, a weekly summary, a monthly P&amp;L row, the current R:R ratio, and a streak/trade count row.</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1800"/>
        <w:gridCol w:w="4360"/>
      </w:tblGrid>
      <w:tr>
        <w:tc>
          <w:tcPr>
            <w:tcW w:type="dxa" w:w="32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Setting</w:t>
            </w:r>
          </w:p>
        </w:tc>
        <w:tc>
          <w:tcPr>
            <w:tcW w:type="dxa" w:w="18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Default</w:t>
            </w:r>
          </w:p>
        </w:tc>
        <w:tc>
          <w:tcPr>
            <w:tcW w:type="dxa" w:w="436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What it does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BOT STATUS banner</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Master status</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Green=Active, Teal=Target hit, Maroon=Loss limit, Purple=Blackout/News, Orange=Re-entry block, Dark red=Session stopped, Blue=In trade, Grey=Day off/Out of session.</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London / NY rows</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Session data</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Trades taken, P&amp;L since session open, and per-session bot status.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Week row</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Weekly totals</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Trade count, weekly P&amp;L, and Target hit indicator.</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Month row</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Monthly P&amp;L</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Current month closed P&amp;L, monthly target, and % progress.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R:R Ratio row</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Risk/Reward</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Live ratio based on current TP and SL settings. Green if &gt;= 1:1.</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Streak row</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Loss streak</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Current consecutive loss count. Green=winning, Amber=1 loss, Red=threshold hit.</w:t>
            </w:r>
          </w:p>
        </w:tc>
      </w:tr>
    </w:tbl>
    <w:p>
      <w:pPr>
        <w:spacing w:before="0" w:after="200"/>
      </w:pPr>
      <w:r>
        <w:t xml:space="preserve"/>
      </w:r>
    </w:p>
    <w:p>
      <w:r>
        <w:br w:type="page"/>
      </w:r>
    </w:p>
    <w:p>
      <w:pPr>
        <w:pStyle w:val="Heading1"/>
        <w:pBdr>
          <w:bottom w:val="single" w:color="2E75B6" w:sz="4" w:space="1"/>
        </w:pBdr>
        <w:shd w:fill="0D1F3C" w:val="clear"/>
        <w:spacing w:before="0" w:after="200"/>
        <w:ind w:left="280" w:right="280"/>
      </w:pPr>
      <w:r>
        <w:rPr>
          <w:rFonts w:ascii="Arial" w:cs="Arial" w:eastAsia="Arial" w:hAnsi="Arial"/>
          <w:b/>
          <w:bCs/>
          <w:color w:val="FFFFFF"/>
          <w:sz w:val="36"/>
          <w:szCs w:val="36"/>
        </w:rPr>
        <w:t xml:space="preserve">5.  Optimum Settings</w:t>
      </w:r>
    </w:p>
    <w:p>
      <w:pPr>
        <w:spacing w:before="0" w:after="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E75B6" w:sz="1"/>
              <w:left w:val="single" w:color="2E75B6" w:sz="1"/>
              <w:bottom w:val="single" w:color="2E75B6" w:sz="1"/>
              <w:right w:val="single" w:color="2E75B6" w:sz="1"/>
            </w:tcBorders>
            <w:shd w:fill="EAF4FB" w:val="clear"/>
            <w:tcMar>
              <w:top w:type="dxa" w:w="140"/>
              <w:left w:type="dxa" w:w="200"/>
              <w:bottom w:type="dxa" w:w="140"/>
              <w:right w:type="dxa" w:w="200"/>
            </w:tcMar>
          </w:tcPr>
          <w:p>
            <w:pPr>
              <w:spacing w:after="60"/>
            </w:pPr>
            <w:r>
              <w:rPr>
                <w:rFonts w:ascii="Arial" w:cs="Arial" w:eastAsia="Arial" w:hAnsi="Arial"/>
                <w:b/>
                <w:bCs/>
                <w:color w:val="2E75B6"/>
                <w:sz w:val="22"/>
                <w:szCs w:val="22"/>
              </w:rPr>
              <w:t xml:space="preserve">Important</w:t>
            </w:r>
          </w:p>
          <w:p>
            <w:pPr>
              <w:spacing w:after="0"/>
            </w:pPr>
            <w:r>
              <w:rPr>
                <w:rFonts w:ascii="Arial" w:cs="Arial" w:eastAsia="Arial" w:hAnsi="Arial"/>
                <w:color w:val="444444"/>
                <w:sz w:val="21"/>
                <w:szCs w:val="21"/>
              </w:rPr>
              <w:t xml:space="preserve">These settings are derived from 12 months of backtesting on MNQ1! futures. Always paper trade for at least two weeks before going live. Adjust P&amp;L limits to match your own account size and risk tolerance.</w:t>
            </w:r>
          </w:p>
        </w:tc>
      </w:tr>
    </w:tbl>
    <w:p>
      <w:pPr>
        <w:spacing w:before="0" w:after="14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Stop Loss — most impactful setting</w:t>
      </w:r>
    </w:p>
    <w:p>
      <w:pPr>
        <w:spacing w:before="80" w:after="100"/>
      </w:pPr>
      <w:r>
        <w:rPr>
          <w:rFonts w:ascii="Arial" w:cs="Arial" w:eastAsia="Arial" w:hAnsi="Arial"/>
          <w:color w:val="444444"/>
          <w:sz w:val="22"/>
          <w:szCs w:val="22"/>
        </w:rPr>
        <w:t xml:space="preserve">Trailing SL with activation at 20 points and trail distance 10 points produced the best 12-month results (+$18,462 vs +$13,503 fixed). The average loss dropped from -$906 to -$362 — a 60% improvement. The trailing SL is the recommended default.</w:t>
      </w:r>
    </w:p>
    <w:p>
      <w:pPr>
        <w:spacing w:before="0" w:after="80"/>
      </w:pPr>
      <w:r>
        <w:t xml:space="preserve"/>
      </w:r>
    </w:p>
    <w:p>
      <w:pPr>
        <w:spacing w:before="80" w:after="100"/>
      </w:pPr>
      <w:r>
        <w:rPr>
          <w:rFonts w:ascii="Arial" w:cs="Arial" w:eastAsia="Arial" w:hAnsi="Arial"/>
          <w:color w:val="444444"/>
          <w:sz w:val="22"/>
          <w:szCs w:val="22"/>
        </w:rPr>
        <w:t xml:space="preserve">If you prefer a simpler approach, ATR Dynamic SL is a strong alternative — it automatically widens the SL in volatile conditions and tightens it in quiet markets, reducing premature stop-outs.</w:t>
      </w:r>
    </w:p>
    <w:p>
      <w:pPr>
        <w:spacing w:before="0" w:after="14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Partial Close — addresses the duration exit problem</w:t>
      </w:r>
    </w:p>
    <w:p>
      <w:pPr>
        <w:spacing w:before="80" w:after="100"/>
      </w:pPr>
      <w:r>
        <w:rPr>
          <w:rFonts w:ascii="Arial" w:cs="Arial" w:eastAsia="Arial" w:hAnsi="Arial"/>
          <w:color w:val="444444"/>
          <w:sz w:val="22"/>
          <w:szCs w:val="22"/>
        </w:rPr>
        <w:t xml:space="preserve">The biggest unresolved drain on the strategy is max-duration exits: 257 trades in 12 months hit the 20-minute timer at only 6.6% WR, consuming -$86,256 of the +$104,718 gross profit from natural exits. Enabling Partial Close (TP1 at 10pts, TP2 at 20pts) locks in guaranteed profit on 50% of every winning trade, dramatically reducing the impact of trades that later reverse and hit the duration timer.</w:t>
      </w:r>
    </w:p>
    <w:p>
      <w:pPr>
        <w:spacing w:before="0" w:after="14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Recommended starting configuration</w:t>
      </w:r>
    </w:p>
    <w:p>
      <w:pPr>
        <w:spacing w:before="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1800"/>
        <w:gridCol w:w="4360"/>
      </w:tblGrid>
      <w:tr>
        <w:tc>
          <w:tcPr>
            <w:tcW w:type="dxa" w:w="32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Setting</w:t>
            </w:r>
          </w:p>
        </w:tc>
        <w:tc>
          <w:tcPr>
            <w:tcW w:type="dxa" w:w="180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Default</w:t>
            </w:r>
          </w:p>
        </w:tc>
        <w:tc>
          <w:tcPr>
            <w:tcW w:type="dxa" w:w="4360"/>
            <w:tcBorders>
              <w:top w:val="single" w:color="2E75B6" w:sz="1"/>
              <w:left w:val="single" w:color="2E75B6" w:sz="1"/>
              <w:bottom w:val="single" w:color="2E75B6" w:sz="1"/>
              <w:right w:val="single" w:color="2E75B6" w:sz="1"/>
            </w:tcBorders>
            <w:shd w:fill="0D1F3C" w:val="clear"/>
            <w:tcMar>
              <w:top w:type="dxa" w:w="80"/>
              <w:left w:type="dxa" w:w="120"/>
              <w:bottom w:type="dxa" w:w="80"/>
              <w:right w:type="dxa" w:w="120"/>
            </w:tcMar>
          </w:tcPr>
          <w:p>
            <w:r>
              <w:rPr>
                <w:rFonts w:ascii="Arial" w:cs="Arial" w:eastAsia="Arial" w:hAnsi="Arial"/>
                <w:b/>
                <w:bCs/>
                <w:color w:val="FFFFFF"/>
                <w:sz w:val="20"/>
                <w:szCs w:val="20"/>
              </w:rPr>
              <w:t xml:space="preserve">What it does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Stop Loss Type</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Trailing</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Best 12-month results. Avg loss 60% smaller than fixed SL.</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Trailing SL — Activate after</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20pts</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Gives price enough room to move before locking in.</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Trailing SL — Trail distance</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10pts</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Tight enough to protect profit, wide enough to breathe.</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Enable Partial Close</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On</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Locks in profit on half position. Highly recommended.</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TP1 (Partial Close)</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10pts</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First close at the standard TP level.</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TP2 (Partial Close)</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20pts</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Second close — let the trail work toward this.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Max Trade Duration</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20 min</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Based on backtesting: avg winning trade = 3-6 mins.</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Daily Profit Target</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$300–500</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2–3x your average winning trade.</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Daily Max Loss</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$400–600</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Slightly above your daily profit target.</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Engulfing Type</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Strict</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Reduces false entries in volatile NQ/MNQ conditions.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Trading Days</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Mon/Tue/Thu/Fri</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Wednesday disabled — consistently underperforms.</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EMA Trend Filter</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Off initially</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Enable and test once comfortable with base settings.</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bCs/>
                <w:color w:val="0D1F3C"/>
                <w:sz w:val="20"/>
                <w:szCs w:val="20"/>
              </w:rPr>
              <w:t xml:space="preserve">News Blackout</w:t>
            </w:r>
          </w:p>
        </w:tc>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color w:val="2E75B6"/>
                <w:sz w:val="20"/>
                <w:szCs w:val="20"/>
              </w:rPr>
              <w:t xml:space="preserve">On (08:30 ±15)</w:t>
            </w:r>
          </w:p>
        </w:tc>
        <w:tc>
          <w:tcPr>
            <w:tcW w:type="dxa" w:w="4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444444"/>
                <w:sz w:val="20"/>
                <w:szCs w:val="20"/>
              </w:rPr>
              <w:t xml:space="preserve">Covers US economic releases (CPI, NFP, FOMC).</w:t>
            </w:r>
          </w:p>
        </w:tc>
      </w:tr>
      <w:tr>
        <w:tc>
          <w:tcPr>
            <w:tcW w:type="dxa" w:w="32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b/>
                <w:bCs/>
                <w:color w:val="0D1F3C"/>
                <w:sz w:val="20"/>
                <w:szCs w:val="20"/>
              </w:rPr>
              <w:t xml:space="preserve">Backtest Mode</w:t>
            </w:r>
          </w:p>
        </w:tc>
        <w:tc>
          <w:tcPr>
            <w:tcW w:type="dxa" w:w="180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2E75B6"/>
                <w:sz w:val="20"/>
                <w:szCs w:val="20"/>
              </w:rPr>
              <w:t xml:space="preserve">OFF for live</w:t>
            </w:r>
          </w:p>
        </w:tc>
        <w:tc>
          <w:tcPr>
            <w:tcW w:type="dxa" w:w="4360"/>
            <w:tcBorders>
              <w:top w:val="single" w:color="CCCCCC" w:sz="1"/>
              <w:left w:val="single" w:color="CCCCCC" w:sz="1"/>
              <w:bottom w:val="single" w:color="CCCCCC" w:sz="1"/>
              <w:right w:val="single" w:color="CCCCCC" w:sz="1"/>
            </w:tcBorders>
            <w:shd w:fill="EAF4FB" w:val="clear"/>
            <w:tcMar>
              <w:top w:type="dxa" w:w="80"/>
              <w:left w:type="dxa" w:w="120"/>
              <w:bottom w:type="dxa" w:w="80"/>
              <w:right w:type="dxa" w:w="120"/>
            </w:tcMar>
          </w:tcPr>
          <w:p>
            <w:r>
              <w:rPr>
                <w:rFonts w:ascii="Arial" w:cs="Arial" w:eastAsia="Arial" w:hAnsi="Arial"/>
                <w:color w:val="444444"/>
                <w:sz w:val="20"/>
                <w:szCs w:val="20"/>
              </w:rPr>
              <w:t xml:space="preserve">Critical — must be off when trading live.</w:t>
            </w:r>
          </w:p>
        </w:tc>
      </w:tr>
    </w:tbl>
    <w:p>
      <w:pPr>
        <w:spacing w:before="0" w:after="200"/>
      </w:pPr>
      <w:r>
        <w:t xml:space="preserve"/>
      </w:r>
    </w:p>
    <w:p>
      <w:r>
        <w:br w:type="page"/>
      </w:r>
    </w:p>
    <w:p>
      <w:pPr>
        <w:pStyle w:val="Heading1"/>
        <w:pBdr>
          <w:bottom w:val="single" w:color="2E75B6" w:sz="4" w:space="1"/>
        </w:pBdr>
        <w:shd w:fill="0D1F3C" w:val="clear"/>
        <w:spacing w:before="0" w:after="200"/>
        <w:ind w:left="280" w:right="280"/>
      </w:pPr>
      <w:r>
        <w:rPr>
          <w:rFonts w:ascii="Arial" w:cs="Arial" w:eastAsia="Arial" w:hAnsi="Arial"/>
          <w:b/>
          <w:bCs/>
          <w:color w:val="FFFFFF"/>
          <w:sz w:val="36"/>
          <w:szCs w:val="36"/>
        </w:rPr>
        <w:t xml:space="preserve">6.  Key Data Findings</w:t>
      </w:r>
    </w:p>
    <w:p>
      <w:pPr>
        <w:spacing w:before="0" w:after="10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Best and worst times to trade</w:t>
      </w:r>
    </w:p>
    <w:p>
      <w:pPr>
        <w:spacing w:before="80" w:after="100"/>
      </w:pPr>
      <w:r>
        <w:rPr>
          <w:rFonts w:ascii="Arial" w:cs="Arial" w:eastAsia="Arial" w:hAnsi="Arial"/>
          <w:color w:val="444444"/>
          <w:sz w:val="22"/>
          <w:szCs w:val="22"/>
        </w:rPr>
        <w:t xml:space="preserve">Based on 12 months of data with the trailing SL settings:</w:t>
      </w:r>
    </w:p>
    <w:p>
      <w:pPr>
        <w:pStyle w:val="ListParagraph"/>
        <w:numPr>
          <w:ilvl w:val="0"/>
          <w:numId w:val="2"/>
        </w:numPr>
        <w:spacing w:before="60" w:after="60"/>
      </w:pPr>
      <w:r>
        <w:rPr>
          <w:rFonts w:ascii="Arial" w:cs="Arial" w:eastAsia="Arial" w:hAnsi="Arial"/>
          <w:color w:val="444444"/>
          <w:sz w:val="22"/>
          <w:szCs w:val="22"/>
        </w:rPr>
        <w:t xml:space="preserve">Best hours: 08:00 (+$4,386 at 83.2% WR), 09:00 (+$8,394 at 90.5% WR), 12:00–14:00 strong</w:t>
      </w:r>
    </w:p>
    <w:p>
      <w:pPr>
        <w:pStyle w:val="ListParagraph"/>
        <w:numPr>
          <w:ilvl w:val="0"/>
          <w:numId w:val="2"/>
        </w:numPr>
        <w:spacing w:before="60" w:after="60"/>
      </w:pPr>
      <w:r>
        <w:rPr>
          <w:rFonts w:ascii="Arial" w:cs="Arial" w:eastAsia="Arial" w:hAnsi="Arial"/>
          <w:color w:val="444444"/>
          <w:sz w:val="22"/>
          <w:szCs w:val="22"/>
        </w:rPr>
        <w:t xml:space="preserve">Worst hours: 15:00 (-$3,258 at 57.7% WR), 11:00 (-$3,078 at 77.3% WR)</w:t>
      </w:r>
    </w:p>
    <w:p>
      <w:pPr>
        <w:pStyle w:val="ListParagraph"/>
        <w:numPr>
          <w:ilvl w:val="0"/>
          <w:numId w:val="2"/>
        </w:numPr>
        <w:spacing w:before="60" w:after="60"/>
      </w:pPr>
      <w:r>
        <w:rPr>
          <w:rFonts w:ascii="Arial" w:cs="Arial" w:eastAsia="Arial" w:hAnsi="Arial"/>
          <w:color w:val="444444"/>
          <w:sz w:val="22"/>
          <w:szCs w:val="22"/>
        </w:rPr>
        <w:t xml:space="preserve">Best days: Thursday (+$2,841) and Friday (+$4,974) — both at ~81% WR</w:t>
      </w:r>
    </w:p>
    <w:p>
      <w:pPr>
        <w:pStyle w:val="ListParagraph"/>
        <w:numPr>
          <w:ilvl w:val="0"/>
          <w:numId w:val="2"/>
        </w:numPr>
        <w:spacing w:before="60" w:after="60"/>
      </w:pPr>
      <w:r>
        <w:rPr>
          <w:rFonts w:ascii="Arial" w:cs="Arial" w:eastAsia="Arial" w:hAnsi="Arial"/>
          <w:color w:val="444444"/>
          <w:sz w:val="22"/>
          <w:szCs w:val="22"/>
        </w:rPr>
        <w:t xml:space="preserve">Worst day: Tuesday (+$6,918 total but volatile — monitor ongoing)</w:t>
      </w:r>
    </w:p>
    <w:p>
      <w:pPr>
        <w:spacing w:before="0" w:after="14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The duration exit challenge</w:t>
      </w:r>
    </w:p>
    <w:p>
      <w:pPr>
        <w:spacing w:before="80" w:after="100"/>
      </w:pPr>
      <w:r>
        <w:rPr>
          <w:rFonts w:ascii="Arial" w:cs="Arial" w:eastAsia="Arial" w:hAnsi="Arial"/>
          <w:color w:val="444444"/>
          <w:sz w:val="22"/>
          <w:szCs w:val="22"/>
        </w:rPr>
        <w:t xml:space="preserve">This is the most important finding from 12 months of data. Natural exits (Long Exit / Short Exit) generated +$104,718 at 100% WR across 1,015 trades. Max duration exits generated -$86,256 across just 257 trades at 6.6% WR. The net result was +$18,462.</w:t>
      </w:r>
    </w:p>
    <w:p>
      <w:pPr>
        <w:spacing w:before="0" w:after="80"/>
      </w:pPr>
      <w:r>
        <w:t xml:space="preserve"/>
      </w:r>
    </w:p>
    <w:p>
      <w:pPr>
        <w:spacing w:before="80" w:after="100"/>
      </w:pPr>
      <w:r>
        <w:rPr>
          <w:rFonts w:ascii="Arial" w:cs="Arial" w:eastAsia="Arial" w:hAnsi="Arial"/>
          <w:color w:val="444444"/>
          <w:sz w:val="22"/>
          <w:szCs w:val="22"/>
        </w:rPr>
        <w:t xml:space="preserve">The implication is clear: if you can reduce or eliminate duration exits, profitability increases dramatically. The Partial Close feature is the primary tool for this. Enabling it at TP1=10pts, TP2=20pts means even trades that later reverse and hit the duration timer have already locked in profit on half the position.</w:t>
      </w:r>
    </w:p>
    <w:p>
      <w:pPr>
        <w:spacing w:before="0" w:after="14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Short trades outperform longs</w:t>
      </w:r>
    </w:p>
    <w:p>
      <w:pPr>
        <w:spacing w:before="80" w:after="100"/>
      </w:pPr>
      <w:r>
        <w:rPr>
          <w:rFonts w:ascii="Arial" w:cs="Arial" w:eastAsia="Arial" w:hAnsi="Arial"/>
          <w:color w:val="444444"/>
          <w:sz w:val="22"/>
          <w:szCs w:val="22"/>
        </w:rPr>
        <w:t xml:space="preserve">Over 12 months, short trades generated +$12,732 vs long trades at +$5,730. Both directions are profitable but short trades show a consistent edge on NQ/MNQ. This may reflect the market's tendency to fall faster than it rises, which suits the trailing SL approach.</w:t>
      </w:r>
    </w:p>
    <w:p>
      <w:pPr>
        <w:spacing w:before="0" w:after="200"/>
      </w:pPr>
      <w:r>
        <w:t xml:space="preserve"/>
      </w:r>
    </w:p>
    <w:p>
      <w:r>
        <w:br w:type="page"/>
      </w:r>
    </w:p>
    <w:p>
      <w:pPr>
        <w:pStyle w:val="Heading1"/>
        <w:pBdr>
          <w:bottom w:val="single" w:color="2E75B6" w:sz="4" w:space="1"/>
        </w:pBdr>
        <w:shd w:fill="0D1F3C" w:val="clear"/>
        <w:spacing w:before="0" w:after="200"/>
        <w:ind w:left="280" w:right="280"/>
      </w:pPr>
      <w:r>
        <w:rPr>
          <w:rFonts w:ascii="Arial" w:cs="Arial" w:eastAsia="Arial" w:hAnsi="Arial"/>
          <w:b/>
          <w:bCs/>
          <w:color w:val="FFFFFF"/>
          <w:sz w:val="36"/>
          <w:szCs w:val="36"/>
        </w:rPr>
        <w:t xml:space="preserve">7.  Getting Started</w:t>
      </w:r>
    </w:p>
    <w:p>
      <w:pPr>
        <w:spacing w:before="0" w:after="10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Step 1 — Add to chart</w:t>
      </w:r>
    </w:p>
    <w:p>
      <w:pPr>
        <w:pStyle w:val="ListParagraph"/>
        <w:numPr>
          <w:ilvl w:val="0"/>
          <w:numId w:val="3"/>
        </w:numPr>
        <w:spacing w:before="60" w:after="60"/>
      </w:pPr>
      <w:r>
        <w:rPr>
          <w:rFonts w:ascii="Arial" w:cs="Arial" w:eastAsia="Arial" w:hAnsi="Arial"/>
          <w:color w:val="444444"/>
          <w:sz w:val="22"/>
          <w:szCs w:val="22"/>
        </w:rPr>
        <w:t xml:space="preserve">Open TradingView and navigate to MNQ1! or NQ1! on a 5-minute chart.</w:t>
      </w:r>
    </w:p>
    <w:p>
      <w:pPr>
        <w:pStyle w:val="ListParagraph"/>
        <w:numPr>
          <w:ilvl w:val="0"/>
          <w:numId w:val="3"/>
        </w:numPr>
        <w:spacing w:before="60" w:after="60"/>
      </w:pPr>
      <w:r>
        <w:rPr>
          <w:rFonts w:ascii="Arial" w:cs="Arial" w:eastAsia="Arial" w:hAnsi="Arial"/>
          <w:color w:val="444444"/>
          <w:sz w:val="22"/>
          <w:szCs w:val="22"/>
        </w:rPr>
        <w:t xml:space="preserve">Open the Pine Script editor and paste the strategy code.</w:t>
      </w:r>
    </w:p>
    <w:p>
      <w:pPr>
        <w:pStyle w:val="ListParagraph"/>
        <w:numPr>
          <w:ilvl w:val="0"/>
          <w:numId w:val="3"/>
        </w:numPr>
        <w:spacing w:before="60" w:after="60"/>
      </w:pPr>
      <w:r>
        <w:rPr>
          <w:rFonts w:ascii="Arial" w:cs="Arial" w:eastAsia="Arial" w:hAnsi="Arial"/>
          <w:color w:val="444444"/>
          <w:sz w:val="22"/>
          <w:szCs w:val="22"/>
        </w:rPr>
        <w:t xml:space="preserve">Click Add to chart.</w:t>
      </w:r>
    </w:p>
    <w:p>
      <w:pPr>
        <w:spacing w:before="0" w:after="14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Step 2 — Configure settings</w:t>
      </w:r>
    </w:p>
    <w:p>
      <w:pPr>
        <w:pStyle w:val="ListParagraph"/>
        <w:numPr>
          <w:ilvl w:val="0"/>
          <w:numId w:val="3"/>
        </w:numPr>
        <w:spacing w:before="60" w:after="60"/>
      </w:pPr>
      <w:r>
        <w:rPr>
          <w:rFonts w:ascii="Arial" w:cs="Arial" w:eastAsia="Arial" w:hAnsi="Arial"/>
          <w:color w:val="444444"/>
          <w:sz w:val="22"/>
          <w:szCs w:val="22"/>
        </w:rPr>
        <w:t xml:space="preserve">Click the gear icon on the strategy name.</w:t>
      </w:r>
    </w:p>
    <w:p>
      <w:pPr>
        <w:pStyle w:val="ListParagraph"/>
        <w:numPr>
          <w:ilvl w:val="0"/>
          <w:numId w:val="3"/>
        </w:numPr>
        <w:spacing w:before="60" w:after="60"/>
      </w:pPr>
      <w:r>
        <w:rPr>
          <w:rFonts w:ascii="Arial" w:cs="Arial" w:eastAsia="Arial" w:hAnsi="Arial"/>
          <w:color w:val="444444"/>
          <w:sz w:val="22"/>
          <w:szCs w:val="22"/>
        </w:rPr>
        <w:t xml:space="preserve">Apply the recommended settings from Section 5.</w:t>
      </w:r>
    </w:p>
    <w:p>
      <w:pPr>
        <w:pStyle w:val="ListParagraph"/>
        <w:numPr>
          <w:ilvl w:val="0"/>
          <w:numId w:val="3"/>
        </w:numPr>
        <w:spacing w:before="60" w:after="60"/>
      </w:pPr>
      <w:r>
        <w:rPr>
          <w:rFonts w:ascii="Arial" w:cs="Arial" w:eastAsia="Arial" w:hAnsi="Arial"/>
          <w:color w:val="444444"/>
          <w:sz w:val="22"/>
          <w:szCs w:val="22"/>
        </w:rPr>
        <w:t xml:space="preserve">Set your session times to match your broker's timezone display.</w:t>
      </w:r>
    </w:p>
    <w:p>
      <w:pPr>
        <w:pStyle w:val="ListParagraph"/>
        <w:numPr>
          <w:ilvl w:val="0"/>
          <w:numId w:val="3"/>
        </w:numPr>
        <w:spacing w:before="60" w:after="60"/>
      </w:pPr>
      <w:r>
        <w:rPr>
          <w:rFonts w:ascii="Arial" w:cs="Arial" w:eastAsia="Arial" w:hAnsi="Arial"/>
          <w:color w:val="444444"/>
          <w:sz w:val="22"/>
          <w:szCs w:val="22"/>
        </w:rPr>
        <w:t xml:space="preserve">Set daily P&amp;L limits based on your account size.</w:t>
      </w:r>
    </w:p>
    <w:p>
      <w:pPr>
        <w:pStyle w:val="ListParagraph"/>
        <w:numPr>
          <w:ilvl w:val="0"/>
          <w:numId w:val="3"/>
        </w:numPr>
        <w:spacing w:before="60" w:after="60"/>
      </w:pPr>
      <w:r>
        <w:rPr>
          <w:rFonts w:ascii="Arial" w:cs="Arial" w:eastAsia="Arial" w:hAnsi="Arial"/>
          <w:color w:val="444444"/>
          <w:sz w:val="22"/>
          <w:szCs w:val="22"/>
        </w:rPr>
        <w:t xml:space="preserve">Enable Backtest Mode for initial testing.</w:t>
      </w:r>
    </w:p>
    <w:p>
      <w:pPr>
        <w:spacing w:before="0" w:after="14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Step 3 — Run the backtest</w:t>
      </w:r>
    </w:p>
    <w:p>
      <w:pPr>
        <w:pStyle w:val="ListParagraph"/>
        <w:numPr>
          <w:ilvl w:val="0"/>
          <w:numId w:val="3"/>
        </w:numPr>
        <w:spacing w:before="60" w:after="60"/>
      </w:pPr>
      <w:r>
        <w:rPr>
          <w:rFonts w:ascii="Arial" w:cs="Arial" w:eastAsia="Arial" w:hAnsi="Arial"/>
          <w:color w:val="444444"/>
          <w:sz w:val="22"/>
          <w:szCs w:val="22"/>
        </w:rPr>
        <w:t xml:space="preserve">With Backtest Mode ON, the Strategy Tester panel shows performance.</w:t>
      </w:r>
    </w:p>
    <w:p>
      <w:pPr>
        <w:pStyle w:val="ListParagraph"/>
        <w:numPr>
          <w:ilvl w:val="0"/>
          <w:numId w:val="3"/>
        </w:numPr>
        <w:spacing w:before="60" w:after="60"/>
      </w:pPr>
      <w:r>
        <w:rPr>
          <w:rFonts w:ascii="Arial" w:cs="Arial" w:eastAsia="Arial" w:hAnsi="Arial"/>
          <w:color w:val="444444"/>
          <w:sz w:val="22"/>
          <w:szCs w:val="22"/>
        </w:rPr>
        <w:t xml:space="preserve">Review the equity curve — should trend upward with controlled drawdowns.</w:t>
      </w:r>
    </w:p>
    <w:p>
      <w:pPr>
        <w:pStyle w:val="ListParagraph"/>
        <w:numPr>
          <w:ilvl w:val="0"/>
          <w:numId w:val="3"/>
        </w:numPr>
        <w:spacing w:before="60" w:after="60"/>
      </w:pPr>
      <w:r>
        <w:rPr>
          <w:rFonts w:ascii="Arial" w:cs="Arial" w:eastAsia="Arial" w:hAnsi="Arial"/>
          <w:color w:val="444444"/>
          <w:sz w:val="22"/>
          <w:szCs w:val="22"/>
        </w:rPr>
        <w:t xml:space="preserve">Check the List of Trades tab to review individual entries and exits.</w:t>
      </w:r>
    </w:p>
    <w:p>
      <w:pPr>
        <w:pStyle w:val="ListParagraph"/>
        <w:numPr>
          <w:ilvl w:val="0"/>
          <w:numId w:val="3"/>
        </w:numPr>
        <w:spacing w:before="60" w:after="60"/>
      </w:pPr>
      <w:r>
        <w:rPr>
          <w:rFonts w:ascii="Arial" w:cs="Arial" w:eastAsia="Arial" w:hAnsi="Arial"/>
          <w:color w:val="444444"/>
          <w:sz w:val="22"/>
          <w:szCs w:val="22"/>
        </w:rPr>
        <w:t xml:space="preserve">Filter by exit signal — look at how many 'Max duration' exits appear.</w:t>
      </w:r>
    </w:p>
    <w:p>
      <w:pPr>
        <w:spacing w:before="0" w:after="14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Step 4 — Paper trade</w:t>
      </w:r>
    </w:p>
    <w:p>
      <w:pPr>
        <w:pStyle w:val="ListParagraph"/>
        <w:numPr>
          <w:ilvl w:val="0"/>
          <w:numId w:val="3"/>
        </w:numPr>
        <w:spacing w:before="60" w:after="60"/>
      </w:pPr>
      <w:r>
        <w:rPr>
          <w:rFonts w:ascii="Arial" w:cs="Arial" w:eastAsia="Arial" w:hAnsi="Arial"/>
          <w:color w:val="444444"/>
          <w:sz w:val="22"/>
          <w:szCs w:val="22"/>
        </w:rPr>
        <w:t xml:space="preserve">Turn Backtest Mode OFF.</w:t>
      </w:r>
    </w:p>
    <w:p>
      <w:pPr>
        <w:pStyle w:val="ListParagraph"/>
        <w:numPr>
          <w:ilvl w:val="0"/>
          <w:numId w:val="3"/>
        </w:numPr>
        <w:spacing w:before="60" w:after="60"/>
      </w:pPr>
      <w:r>
        <w:rPr>
          <w:rFonts w:ascii="Arial" w:cs="Arial" w:eastAsia="Arial" w:hAnsi="Arial"/>
          <w:color w:val="444444"/>
          <w:sz w:val="22"/>
          <w:szCs w:val="22"/>
        </w:rPr>
        <w:t xml:space="preserve">Set Start Date to today in the Backtest Range settings.</w:t>
      </w:r>
    </w:p>
    <w:p>
      <w:pPr>
        <w:pStyle w:val="ListParagraph"/>
        <w:numPr>
          <w:ilvl w:val="0"/>
          <w:numId w:val="3"/>
        </w:numPr>
        <w:spacing w:before="60" w:after="60"/>
      </w:pPr>
      <w:r>
        <w:rPr>
          <w:rFonts w:ascii="Arial" w:cs="Arial" w:eastAsia="Arial" w:hAnsi="Arial"/>
          <w:color w:val="444444"/>
          <w:sz w:val="22"/>
          <w:szCs w:val="22"/>
        </w:rPr>
        <w:t xml:space="preserve">Watch the strategy in real time for at least 2 weeks.</w:t>
      </w:r>
    </w:p>
    <w:p>
      <w:pPr>
        <w:pStyle w:val="ListParagraph"/>
        <w:numPr>
          <w:ilvl w:val="0"/>
          <w:numId w:val="3"/>
        </w:numPr>
        <w:spacing w:before="60" w:after="60"/>
      </w:pPr>
      <w:r>
        <w:rPr>
          <w:rFonts w:ascii="Arial" w:cs="Arial" w:eastAsia="Arial" w:hAnsi="Arial"/>
          <w:color w:val="444444"/>
          <w:sz w:val="22"/>
          <w:szCs w:val="22"/>
        </w:rPr>
        <w:t xml:space="preserve">Verify all on-chart tables display correctly.</w:t>
      </w:r>
    </w:p>
    <w:p>
      <w:pPr>
        <w:pStyle w:val="ListParagraph"/>
        <w:numPr>
          <w:ilvl w:val="0"/>
          <w:numId w:val="3"/>
        </w:numPr>
        <w:spacing w:before="60" w:after="60"/>
      </w:pPr>
      <w:r>
        <w:rPr>
          <w:rFonts w:ascii="Arial" w:cs="Arial" w:eastAsia="Arial" w:hAnsi="Arial"/>
          <w:color w:val="444444"/>
          <w:sz w:val="22"/>
          <w:szCs w:val="22"/>
        </w:rPr>
        <w:t xml:space="preserve">Check the bot status banner updates correctly through each session.</w:t>
      </w:r>
    </w:p>
    <w:p>
      <w:pPr>
        <w:spacing w:before="0" w:after="140"/>
      </w:pPr>
      <w:r>
        <w:t xml:space="preserve"/>
      </w:r>
    </w:p>
    <w:p>
      <w:pPr>
        <w:pStyle w:val="Heading3"/>
        <w:pBdr>
          <w:bottom w:val="single" w:color="2E75B6" w:sz="2" w:space="4"/>
        </w:pBdr>
        <w:spacing w:before="280" w:after="120"/>
      </w:pPr>
      <w:r>
        <w:rPr>
          <w:rFonts w:ascii="Arial" w:cs="Arial" w:eastAsia="Arial" w:hAnsi="Arial"/>
          <w:b/>
          <w:bCs/>
          <w:color w:val="0D1F3C"/>
          <w:sz w:val="24"/>
          <w:szCs w:val="24"/>
        </w:rPr>
        <w:t xml:space="preserve">Step 5 — Go live</w:t>
      </w:r>
    </w:p>
    <w:p>
      <w:pPr>
        <w:pStyle w:val="ListParagraph"/>
        <w:numPr>
          <w:ilvl w:val="0"/>
          <w:numId w:val="3"/>
        </w:numPr>
        <w:spacing w:before="60" w:after="60"/>
      </w:pPr>
      <w:r>
        <w:rPr>
          <w:rFonts w:ascii="Arial" w:cs="Arial" w:eastAsia="Arial" w:hAnsi="Arial"/>
          <w:color w:val="444444"/>
          <w:sz w:val="22"/>
          <w:szCs w:val="22"/>
        </w:rPr>
        <w:t xml:space="preserve">Connect TradingView to your broker via the Broker Integration feature.</w:t>
      </w:r>
    </w:p>
    <w:p>
      <w:pPr>
        <w:pStyle w:val="ListParagraph"/>
        <w:numPr>
          <w:ilvl w:val="0"/>
          <w:numId w:val="3"/>
        </w:numPr>
        <w:spacing w:before="60" w:after="60"/>
      </w:pPr>
      <w:r>
        <w:rPr>
          <w:rFonts w:ascii="Arial" w:cs="Arial" w:eastAsia="Arial" w:hAnsi="Arial"/>
          <w:color w:val="444444"/>
          <w:sz w:val="22"/>
          <w:szCs w:val="22"/>
        </w:rPr>
        <w:t xml:space="preserve">Start with 1 MNQ contract ($2/point).</w:t>
      </w:r>
    </w:p>
    <w:p>
      <w:pPr>
        <w:pStyle w:val="ListParagraph"/>
        <w:numPr>
          <w:ilvl w:val="0"/>
          <w:numId w:val="3"/>
        </w:numPr>
        <w:spacing w:before="60" w:after="60"/>
      </w:pPr>
      <w:r>
        <w:rPr>
          <w:rFonts w:ascii="Arial" w:cs="Arial" w:eastAsia="Arial" w:hAnsi="Arial"/>
          <w:color w:val="444444"/>
          <w:sz w:val="22"/>
          <w:szCs w:val="22"/>
        </w:rPr>
        <w:t xml:space="preserve">Set conservative daily limits — $200 profit target, $150 loss limit initially.</w:t>
      </w:r>
    </w:p>
    <w:p>
      <w:pPr>
        <w:pStyle w:val="ListParagraph"/>
        <w:numPr>
          <w:ilvl w:val="0"/>
          <w:numId w:val="3"/>
        </w:numPr>
        <w:spacing w:before="60" w:after="60"/>
      </w:pPr>
      <w:r>
        <w:rPr>
          <w:rFonts w:ascii="Arial" w:cs="Arial" w:eastAsia="Arial" w:hAnsi="Arial"/>
          <w:color w:val="444444"/>
          <w:sz w:val="22"/>
          <w:szCs w:val="22"/>
        </w:rPr>
        <w:t xml:space="preserve">Scale contract size gradually as confidence builds.</w:t>
      </w:r>
    </w:p>
    <w:p>
      <w:pPr>
        <w:spacing w:before="0"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E75B6" w:sz="1"/>
              <w:left w:val="single" w:color="2E75B6" w:sz="1"/>
              <w:bottom w:val="single" w:color="2E75B6" w:sz="1"/>
              <w:right w:val="single" w:color="2E75B6" w:sz="1"/>
            </w:tcBorders>
            <w:shd w:fill="EAF4FB" w:val="clear"/>
            <w:tcMar>
              <w:top w:type="dxa" w:w="140"/>
              <w:left w:type="dxa" w:w="200"/>
              <w:bottom w:type="dxa" w:w="140"/>
              <w:right w:type="dxa" w:w="200"/>
            </w:tcMar>
          </w:tcPr>
          <w:p>
            <w:pPr>
              <w:spacing w:after="60"/>
            </w:pPr>
            <w:r>
              <w:rPr>
                <w:rFonts w:ascii="Arial" w:cs="Arial" w:eastAsia="Arial" w:hAnsi="Arial"/>
                <w:b/>
                <w:bCs/>
                <w:color w:val="2E75B6"/>
                <w:sz w:val="22"/>
                <w:szCs w:val="22"/>
              </w:rPr>
              <w:t xml:space="preserve">CRITICAL REMINDER</w:t>
            </w:r>
          </w:p>
          <w:p>
            <w:pPr>
              <w:spacing w:after="0"/>
            </w:pPr>
            <w:r>
              <w:rPr>
                <w:rFonts w:ascii="Arial" w:cs="Arial" w:eastAsia="Arial" w:hAnsi="Arial"/>
                <w:color w:val="444444"/>
                <w:sz w:val="21"/>
                <w:szCs w:val="21"/>
              </w:rPr>
              <w:t xml:space="preserve">Always ensure Backtest Mode is set to OFF when trading live. With Backtest Mode on, the strategy places signals on every historical bar when the chart loads, which produces incorrect live entries and exits.</w:t>
            </w:r>
          </w:p>
        </w:tc>
      </w:tr>
    </w:tbl>
    <w:p>
      <w:pPr>
        <w:spacing w:before="0" w:after="200"/>
      </w:pPr>
      <w:r>
        <w:t xml:space="preserve"/>
      </w:r>
    </w:p>
    <w:p>
      <w:r>
        <w:br w:type="page"/>
      </w:r>
    </w:p>
    <w:p>
      <w:pPr>
        <w:pStyle w:val="Heading1"/>
        <w:pBdr>
          <w:bottom w:val="single" w:color="2E75B6" w:sz="4" w:space="1"/>
        </w:pBdr>
        <w:shd w:fill="0D1F3C" w:val="clear"/>
        <w:spacing w:before="0" w:after="200"/>
        <w:ind w:left="280" w:right="280"/>
      </w:pPr>
      <w:r>
        <w:rPr>
          <w:rFonts w:ascii="Arial" w:cs="Arial" w:eastAsia="Arial" w:hAnsi="Arial"/>
          <w:b/>
          <w:bCs/>
          <w:color w:val="FFFFFF"/>
          <w:sz w:val="36"/>
          <w:szCs w:val="36"/>
        </w:rPr>
        <w:t xml:space="preserve">8.  Risk Disclaimer</w:t>
      </w:r>
    </w:p>
    <w:p>
      <w:pPr>
        <w:spacing w:before="0" w:after="100"/>
      </w:pPr>
      <w:r>
        <w:t xml:space="preserve"/>
      </w:r>
    </w:p>
    <w:p>
      <w:pPr>
        <w:spacing w:before="80" w:after="100"/>
      </w:pPr>
      <w:r>
        <w:rPr>
          <w:rFonts w:ascii="Arial" w:cs="Arial" w:eastAsia="Arial" w:hAnsi="Arial"/>
          <w:color w:val="444444"/>
          <w:sz w:val="22"/>
          <w:szCs w:val="22"/>
        </w:rPr>
        <w:t xml:space="preserve">Trading futures carries significant financial risk and is not suitable for all investors. Past performance — including backtested results — is not indicative of future results. The performance figures shown in this guide were produced under specific market conditions during a specific period and may not be replicated.</w:t>
      </w:r>
    </w:p>
    <w:p>
      <w:pPr>
        <w:spacing w:before="0" w:after="80"/>
      </w:pPr>
      <w:r>
        <w:t xml:space="preserve"/>
      </w:r>
    </w:p>
    <w:p>
      <w:pPr>
        <w:spacing w:before="80" w:after="100"/>
      </w:pPr>
      <w:r>
        <w:rPr>
          <w:rFonts w:ascii="Arial" w:cs="Arial" w:eastAsia="Arial" w:hAnsi="Arial"/>
          <w:color w:val="444444"/>
          <w:sz w:val="22"/>
          <w:szCs w:val="22"/>
        </w:rPr>
        <w:t xml:space="preserve">This strategy guide is provided for educational and informational purposes only. It does not constitute financial advice. You are solely responsible for your own trading decisions and for any profits or losses that result from using this strategy.</w:t>
      </w:r>
    </w:p>
    <w:p>
      <w:pPr>
        <w:spacing w:before="0" w:after="80"/>
      </w:pPr>
      <w:r>
        <w:t xml:space="preserve"/>
      </w:r>
    </w:p>
    <w:p>
      <w:pPr>
        <w:pStyle w:val="ListParagraph"/>
        <w:numPr>
          <w:ilvl w:val="0"/>
          <w:numId w:val="2"/>
        </w:numPr>
        <w:spacing w:before="60" w:after="60"/>
      </w:pPr>
      <w:r>
        <w:rPr>
          <w:rFonts w:ascii="Arial" w:cs="Arial" w:eastAsia="Arial" w:hAnsi="Arial"/>
          <w:color w:val="444444"/>
          <w:sz w:val="22"/>
          <w:szCs w:val="22"/>
        </w:rPr>
        <w:t xml:space="preserve">Only trade with capital you can afford to lose.</w:t>
      </w:r>
    </w:p>
    <w:p>
      <w:pPr>
        <w:pStyle w:val="ListParagraph"/>
        <w:numPr>
          <w:ilvl w:val="0"/>
          <w:numId w:val="2"/>
        </w:numPr>
        <w:spacing w:before="60" w:after="60"/>
      </w:pPr>
      <w:r>
        <w:rPr>
          <w:rFonts w:ascii="Arial" w:cs="Arial" w:eastAsia="Arial" w:hAnsi="Arial"/>
          <w:color w:val="444444"/>
          <w:sz w:val="22"/>
          <w:szCs w:val="22"/>
        </w:rPr>
        <w:t xml:space="preserve">Ensure you fully understand how futures contracts work, including margin requirements.</w:t>
      </w:r>
    </w:p>
    <w:p>
      <w:pPr>
        <w:pStyle w:val="ListParagraph"/>
        <w:numPr>
          <w:ilvl w:val="0"/>
          <w:numId w:val="2"/>
        </w:numPr>
        <w:spacing w:before="60" w:after="60"/>
      </w:pPr>
      <w:r>
        <w:rPr>
          <w:rFonts w:ascii="Arial" w:cs="Arial" w:eastAsia="Arial" w:hAnsi="Arial"/>
          <w:color w:val="444444"/>
          <w:sz w:val="22"/>
          <w:szCs w:val="22"/>
        </w:rPr>
        <w:t xml:space="preserve">Consult a qualified financial adviser if you are unsure whether futures trading is appropriate for your circumstances.</w:t>
      </w:r>
    </w:p>
    <w:p>
      <w:pPr>
        <w:pStyle w:val="ListParagraph"/>
        <w:numPr>
          <w:ilvl w:val="0"/>
          <w:numId w:val="2"/>
        </w:numPr>
        <w:spacing w:before="60" w:after="60"/>
      </w:pPr>
      <w:r>
        <w:rPr>
          <w:rFonts w:ascii="Arial" w:cs="Arial" w:eastAsia="Arial" w:hAnsi="Arial"/>
          <w:color w:val="444444"/>
          <w:sz w:val="22"/>
          <w:szCs w:val="22"/>
        </w:rPr>
        <w:t xml:space="preserve">Live trading results can differ significantly from backtested results due to slippage, execution speed, and changing market conditions.</w:t>
      </w:r>
    </w:p>
    <w:p>
      <w:pPr>
        <w:spacing w:before="0" w:after="300"/>
      </w:pPr>
      <w:r>
        <w:t xml:space="preserve"/>
      </w:r>
    </w:p>
    <w:p>
      <w:pPr>
        <w:shd w:fill="0D1F3C" w:val="clear"/>
        <w:spacing w:before="0" w:after="0"/>
        <w:jc w:val="center"/>
      </w:pPr>
      <w:r>
        <w:rPr>
          <w:rFonts w:ascii="Arial" w:cs="Arial" w:eastAsia="Arial" w:hAnsi="Arial"/>
          <w:b/>
          <w:bCs/>
          <w:color w:val="FFFFFF"/>
          <w:sz w:val="28"/>
          <w:szCs w:val="28"/>
        </w:rPr>
        <w:t xml:space="preserve">Extreme Level Indicator  v1.0  |  Updated Edition</w:t>
      </w:r>
    </w:p>
    <w:p>
      <w:pPr>
        <w:shd w:fill="0D1F3C" w:val="clear"/>
        <w:spacing w:before="0" w:after="0"/>
        <w:jc w:val="center"/>
      </w:pPr>
      <w:r>
        <w:rPr>
          <w:rFonts w:ascii="Arial" w:cs="Arial" w:eastAsia="Arial" w:hAnsi="Arial"/>
          <w:i/>
          <w:iCs/>
          <w:color w:val="D5E8F0"/>
          <w:sz w:val="20"/>
          <w:szCs w:val="20"/>
        </w:rPr>
        <w:t xml:space="preserve">Built for TradingView  |  Optimised for NQ / MNQ Futures</w:t>
      </w:r>
    </w:p>
    <w:p>
      <w:pPr>
        <w:shd w:fill="2E75B6" w:val="clear"/>
        <w:spacing w:before="0" w:after="0"/>
        <w:jc w:val="center"/>
      </w:pPr>
      <w:r>
        <w:rPr>
          <w:rFonts w:ascii="Arial" w:cs="Arial" w:eastAsia="Arial" w:hAnsi="Arial"/>
          <w:color w:val="FFFFFF"/>
          <w:sz w:val="20"/>
          <w:szCs w:val="20"/>
        </w:rPr>
        <w:t xml:space="preserve">81.1% Win Rate  |  +$18,462 P&amp;L  |  1,273 Trades  |  March 2025 – March 2026</w:t>
      </w:r>
    </w:p>
    <w:sectPr>
      <w:headerReference w:type="default" r:id="rId6"/>
      <w:footerReference w:type="default" r:id="rId7"/>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2E75B6" w:sz="4" w:space="1"/>
      </w:pBdr>
      <w:spacing w:before="60"/>
      <w:jc w:val="right"/>
    </w:pPr>
    <w:r>
      <w:rPr>
        <w:rFonts w:ascii="Arial" w:cs="Arial" w:eastAsia="Arial" w:hAnsi="Arial"/>
        <w:color w:val="888888"/>
        <w:sz w:val="18"/>
        <w:szCs w:val="18"/>
      </w:rPr>
      <w:t xml:space="preserve">Confidential  |  Page </w:t>
    </w:r>
    <w:r>
      <w:rPr>
        <w:rFonts w:ascii="Arial" w:cs="Arial" w:eastAsia="Arial" w:hAnsi="Arial"/>
        <w:color w:val="888888"/>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2E75B6" w:sz="4" w:space="1"/>
      </w:pBdr>
      <w:spacing w:after="0"/>
    </w:pPr>
    <w:r>
      <w:rPr>
        <w:rFonts w:ascii="Arial" w:cs="Arial" w:eastAsia="Arial" w:hAnsi="Arial"/>
        <w:color w:val="888888"/>
        <w:sz w:val="18"/>
        <w:szCs w:val="18"/>
      </w:rPr>
      <w:t xml:space="preserve">Extreme Level Indicator  v1.0  |  Trader's Guide  (Updated Edition)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444444"/>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0" w:after="200"/>
      <w:outlineLvl w:val="0"/>
    </w:pPr>
    <w:rPr>
      <w:rFonts w:ascii="Arial" w:cs="Arial" w:eastAsia="Arial" w:hAnsi="Arial"/>
      <w:b/>
      <w:bCs/>
      <w:color w:val="FFFFFF"/>
      <w:sz w:val="36"/>
      <w:szCs w:val="36"/>
    </w:rPr>
  </w:style>
  <w:style w:type="paragraph" w:styleId="Heading2">
    <w:name w:val="Heading 2"/>
    <w:basedOn w:val="Normal"/>
    <w:next w:val="Normal"/>
    <w:qFormat/>
    <w:pPr>
      <w:spacing w:before="360" w:after="160"/>
      <w:outlineLvl w:val="1"/>
    </w:pPr>
    <w:rPr>
      <w:rFonts w:ascii="Arial" w:cs="Arial" w:eastAsia="Arial" w:hAnsi="Arial"/>
      <w:b/>
      <w:bCs/>
      <w:color w:val="FFFFFF"/>
      <w:sz w:val="28"/>
      <w:szCs w:val="28"/>
    </w:rPr>
  </w:style>
  <w:style w:type="paragraph" w:styleId="Heading3">
    <w:name w:val="Heading 3"/>
    <w:basedOn w:val="Normal"/>
    <w:next w:val="Normal"/>
    <w:qFormat/>
    <w:pPr>
      <w:spacing w:before="280" w:after="120"/>
      <w:outlineLvl w:val="2"/>
    </w:pPr>
    <w:rPr>
      <w:rFonts w:ascii="Arial" w:cs="Arial" w:eastAsia="Arial" w:hAnsi="Arial"/>
      <w:b/>
      <w:bCs/>
      <w:color w:val="0D1F3C"/>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2026-03-15T17:51:49.075Z</dcterms:created>
  <dcterms:modified xsi:type="dcterms:W3CDTF">2026-03-15T17:51:49.076Z</dcterms:modified>
</cp:coreProperties>
</file>

<file path=docProps/custom.xml><?xml version="1.0" encoding="utf-8"?>
<Properties xmlns="http://schemas.openxmlformats.org/officeDocument/2006/custom-properties" xmlns:vt="http://schemas.openxmlformats.org/officeDocument/2006/docPropsVTypes"/>
</file>