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0" w:after="600"/>
      </w:pPr>
      <w:r>
        <w:t xml:space="preserve"/>
      </w:r>
    </w:p>
    <w:p>
      <w:pPr>
        <w:shd w:fill="0D1F3C" w:val="clear"/>
        <w:spacing w:before="0" w:after="0"/>
        <w:ind w:left="0" w:right="0"/>
        <w:jc w:val="center"/>
      </w:pPr>
      <w:r>
        <w:rPr>
          <w:rFonts w:ascii="Arial" w:cs="Arial" w:eastAsia="Arial" w:hAnsi="Arial"/>
          <w:b/>
          <w:bCs/>
          <w:color w:val="FFFFFF"/>
          <w:sz w:val="56"/>
          <w:szCs w:val="56"/>
        </w:rPr>
        <w:t xml:space="preserve">EXTREME LEVEL INDICATOR</w:t>
      </w:r>
    </w:p>
    <w:p>
      <w:pPr>
        <w:shd w:fill="1E3A5F" w:val="clear"/>
        <w:spacing w:before="0" w:after="0"/>
        <w:jc w:val="center"/>
      </w:pPr>
      <w:r>
        <w:rPr>
          <w:rFonts w:ascii="Arial" w:cs="Arial" w:eastAsia="Arial" w:hAnsi="Arial"/>
          <w:color w:val="D5E8F0"/>
          <w:sz w:val="30"/>
          <w:szCs w:val="30"/>
        </w:rPr>
        <w:t xml:space="preserve">Version 1.0  |  Trader's Complete Guide</w:t>
      </w:r>
    </w:p>
    <w:p>
      <w:pPr>
        <w:shd w:fill="2E75B6" w:val="clear"/>
        <w:spacing w:before="0" w:after="400"/>
        <w:jc w:val="center"/>
      </w:pPr>
      <w:r>
        <w:rPr>
          <w:rFonts w:ascii="Arial" w:cs="Arial" w:eastAsia="Arial" w:hAnsi="Arial"/>
          <w:i/>
          <w:iCs/>
          <w:color w:val="FFFFFF"/>
          <w:sz w:val="24"/>
          <w:szCs w:val="24"/>
        </w:rPr>
        <w:t xml:space="preserve">TradingView Pine Script Strategy for NQ / MNQ Futures</w:t>
      </w:r>
    </w:p>
    <w:p>
      <w:pPr>
        <w:spacing w:before="0"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c>
          <w:tcPr>
            <w:tcW w:type="dxa" w:w="2340"/>
            <w:tcBorders>
              <w:top w:val="single" w:color="2E75B6" w:sz="1"/>
              <w:left w:val="single" w:color="2E75B6" w:sz="1"/>
              <w:bottom w:val="single" w:color="2E75B6" w:sz="1"/>
              <w:right w:val="single" w:color="2E75B6" w:sz="1"/>
            </w:tcBorders>
            <w:shd w:fill="EAF4FB" w:val="clear"/>
            <w:tcMar>
              <w:top w:type="dxa" w:w="160"/>
              <w:left w:type="dxa" w:w="120"/>
              <w:bottom w:type="dxa" w:w="160"/>
              <w:right w:type="dxa" w:w="120"/>
            </w:tcMar>
          </w:tcPr>
          <w:p>
            <w:pPr>
              <w:jc w:val="center"/>
            </w:pPr>
            <w:r>
              <w:rPr>
                <w:rFonts w:ascii="Arial" w:cs="Arial" w:eastAsia="Arial" w:hAnsi="Arial"/>
                <w:b/>
                <w:bCs/>
                <w:color w:val="0D1F3C"/>
                <w:sz w:val="36"/>
                <w:szCs w:val="36"/>
              </w:rPr>
              <w:t xml:space="preserve">+$13,503</w:t>
            </w:r>
          </w:p>
          <w:p>
            <w:pPr>
              <w:jc w:val="center"/>
            </w:pPr>
            <w:r>
              <w:rPr>
                <w:rFonts w:ascii="Arial" w:cs="Arial" w:eastAsia="Arial" w:hAnsi="Arial"/>
                <w:color w:val="444444"/>
                <w:sz w:val="18"/>
                <w:szCs w:val="18"/>
              </w:rPr>
              <w:t xml:space="preserve">12-Month P&amp;L</w:t>
            </w:r>
          </w:p>
        </w:tc>
        <w:tc>
          <w:tcPr>
            <w:tcW w:type="dxa" w:w="2340"/>
            <w:tcBorders>
              <w:top w:val="single" w:color="2E75B6" w:sz="1"/>
              <w:left w:val="single" w:color="2E75B6" w:sz="1"/>
              <w:bottom w:val="single" w:color="2E75B6" w:sz="1"/>
              <w:right w:val="single" w:color="2E75B6" w:sz="1"/>
            </w:tcBorders>
            <w:shd w:fill="EAF4FB" w:val="clear"/>
            <w:tcMar>
              <w:top w:type="dxa" w:w="160"/>
              <w:left w:type="dxa" w:w="120"/>
              <w:bottom w:type="dxa" w:w="160"/>
              <w:right w:type="dxa" w:w="120"/>
            </w:tcMar>
          </w:tcPr>
          <w:p>
            <w:pPr>
              <w:jc w:val="center"/>
            </w:pPr>
            <w:r>
              <w:rPr>
                <w:rFonts w:ascii="Arial" w:cs="Arial" w:eastAsia="Arial" w:hAnsi="Arial"/>
                <w:b/>
                <w:bCs/>
                <w:color w:val="0D1F3C"/>
                <w:sz w:val="36"/>
                <w:szCs w:val="36"/>
              </w:rPr>
              <w:t xml:space="preserve">90.3%</w:t>
            </w:r>
          </w:p>
          <w:p>
            <w:pPr>
              <w:jc w:val="center"/>
            </w:pPr>
            <w:r>
              <w:rPr>
                <w:rFonts w:ascii="Arial" w:cs="Arial" w:eastAsia="Arial" w:hAnsi="Arial"/>
                <w:color w:val="444444"/>
                <w:sz w:val="18"/>
                <w:szCs w:val="18"/>
              </w:rPr>
              <w:t xml:space="preserve">Win Rate</w:t>
            </w:r>
          </w:p>
        </w:tc>
        <w:tc>
          <w:tcPr>
            <w:tcW w:type="dxa" w:w="2340"/>
            <w:tcBorders>
              <w:top w:val="single" w:color="2E75B6" w:sz="1"/>
              <w:left w:val="single" w:color="2E75B6" w:sz="1"/>
              <w:bottom w:val="single" w:color="2E75B6" w:sz="1"/>
              <w:right w:val="single" w:color="2E75B6" w:sz="1"/>
            </w:tcBorders>
            <w:shd w:fill="EAF4FB" w:val="clear"/>
            <w:tcMar>
              <w:top w:type="dxa" w:w="160"/>
              <w:left w:type="dxa" w:w="120"/>
              <w:bottom w:type="dxa" w:w="160"/>
              <w:right w:type="dxa" w:w="120"/>
            </w:tcMar>
          </w:tcPr>
          <w:p>
            <w:pPr>
              <w:jc w:val="center"/>
            </w:pPr>
            <w:r>
              <w:rPr>
                <w:rFonts w:ascii="Arial" w:cs="Arial" w:eastAsia="Arial" w:hAnsi="Arial"/>
                <w:b/>
                <w:bCs/>
                <w:color w:val="0D1F3C"/>
                <w:sz w:val="36"/>
                <w:szCs w:val="36"/>
              </w:rPr>
              <w:t xml:space="preserve">884</w:t>
            </w:r>
          </w:p>
          <w:p>
            <w:pPr>
              <w:jc w:val="center"/>
            </w:pPr>
            <w:r>
              <w:rPr>
                <w:rFonts w:ascii="Arial" w:cs="Arial" w:eastAsia="Arial" w:hAnsi="Arial"/>
                <w:color w:val="444444"/>
                <w:sz w:val="18"/>
                <w:szCs w:val="18"/>
              </w:rPr>
              <w:t xml:space="preserve">Trades Taken</w:t>
            </w:r>
          </w:p>
        </w:tc>
        <w:tc>
          <w:tcPr>
            <w:tcW w:type="dxa" w:w="2340"/>
            <w:tcBorders>
              <w:top w:val="single" w:color="2E75B6" w:sz="1"/>
              <w:left w:val="single" w:color="2E75B6" w:sz="1"/>
              <w:bottom w:val="single" w:color="2E75B6" w:sz="1"/>
              <w:right w:val="single" w:color="2E75B6" w:sz="1"/>
            </w:tcBorders>
            <w:shd w:fill="EAF4FB" w:val="clear"/>
            <w:tcMar>
              <w:top w:type="dxa" w:w="160"/>
              <w:left w:type="dxa" w:w="120"/>
              <w:bottom w:type="dxa" w:w="160"/>
              <w:right w:type="dxa" w:w="120"/>
            </w:tcMar>
          </w:tcPr>
          <w:p>
            <w:pPr>
              <w:jc w:val="center"/>
            </w:pPr>
            <w:r>
              <w:rPr>
                <w:rFonts w:ascii="Arial" w:cs="Arial" w:eastAsia="Arial" w:hAnsi="Arial"/>
                <w:b/>
                <w:bCs/>
                <w:color w:val="0D1F3C"/>
                <w:sz w:val="36"/>
                <w:szCs w:val="36"/>
              </w:rPr>
              <w:t xml:space="preserve">0.55%</w:t>
            </w:r>
          </w:p>
          <w:p>
            <w:pPr>
              <w:jc w:val="center"/>
            </w:pPr>
            <w:r>
              <w:rPr>
                <w:rFonts w:ascii="Arial" w:cs="Arial" w:eastAsia="Arial" w:hAnsi="Arial"/>
                <w:color w:val="444444"/>
                <w:sz w:val="18"/>
                <w:szCs w:val="18"/>
              </w:rPr>
              <w:t xml:space="preserve">Max Drawdown</w:t>
            </w:r>
          </w:p>
        </w:tc>
      </w:tr>
    </w:tbl>
    <w:p>
      <w:pPr>
        <w:spacing w:before="0" w:after="400"/>
      </w:pPr>
      <w:r>
        <w:t xml:space="preserve"/>
      </w:r>
    </w:p>
    <w:p>
      <w:pPr>
        <w:jc w:val="center"/>
      </w:pPr>
      <w:r>
        <w:rPr>
          <w:rFonts w:ascii="Arial" w:cs="Arial" w:eastAsia="Arial" w:hAnsi="Arial"/>
          <w:i/>
          <w:iCs/>
          <w:color w:val="444444"/>
          <w:sz w:val="20"/>
          <w:szCs w:val="20"/>
        </w:rPr>
        <w:t xml:space="preserve">For use on CME Micro E-mini Nasdaq (MNQ) and E-mini Nasdaq (NQ) futures</w:t>
      </w:r>
    </w:p>
    <w:p>
      <w:pPr>
        <w:jc w:val="center"/>
      </w:pPr>
      <w:r>
        <w:rPr>
          <w:rFonts w:ascii="Arial" w:cs="Arial" w:eastAsia="Arial" w:hAnsi="Arial"/>
          <w:color w:val="444444"/>
          <w:sz w:val="20"/>
          <w:szCs w:val="20"/>
        </w:rPr>
        <w:t xml:space="preserve">Backtested: March 2025 – March 2026</w:t>
      </w:r>
    </w:p>
    <w:p>
      <w:pPr>
        <w:spacing w:before="0" w:after="600"/>
      </w:pPr>
      <w:r>
        <w:t xml:space="preserve"/>
      </w:r>
    </w:p>
    <w:p>
      <w:r>
        <w:br w:type="page"/>
      </w:r>
    </w:p>
    <w:p>
      <w:pPr>
        <w:pStyle w:val="Heading1"/>
        <w:pBdr>
          <w:bottom w:val="single" w:color="2E75B6" w:sz="4" w:space="1"/>
        </w:pBdr>
        <w:shd w:fill="0D1F3C" w:val="clear"/>
        <w:spacing w:before="0" w:after="200"/>
        <w:ind w:left="280" w:right="280"/>
      </w:pPr>
      <w:r>
        <w:rPr>
          <w:rFonts w:ascii="Arial" w:cs="Arial" w:eastAsia="Arial" w:hAnsi="Arial"/>
          <w:b/>
          <w:bCs/>
          <w:color w:val="FFFFFF"/>
          <w:sz w:val="36"/>
          <w:szCs w:val="36"/>
        </w:rPr>
        <w:t xml:space="preserve">1.  What is the Extreme Level Indicator?</w:t>
      </w:r>
    </w:p>
    <w:p>
      <w:pPr>
        <w:spacing w:before="0" w:after="100"/>
      </w:pPr>
      <w:r>
        <w:t xml:space="preserve"/>
      </w:r>
    </w:p>
    <w:p>
      <w:pPr>
        <w:spacing w:before="80" w:after="100"/>
        <w:ind w:left="0"/>
      </w:pPr>
      <w:r>
        <w:rPr>
          <w:rFonts w:ascii="Arial" w:cs="Arial" w:eastAsia="Arial" w:hAnsi="Arial"/>
          <w:color w:val="444444"/>
          <w:sz w:val="22"/>
          <w:szCs w:val="22"/>
        </w:rPr>
        <w:t xml:space="preserve">The Extreme Level Indicator is a precision price-action trading strategy built for TradingView using Pine Script v5. It is designed to trade reversals at statistically significant price levels — points where institutional money has previously caused major price reactions and is likely to do so again.</w:t>
      </w:r>
    </w:p>
    <w:p>
      <w:pPr>
        <w:spacing w:before="0" w:after="80"/>
      </w:pPr>
      <w:r>
        <w:t xml:space="preserve"/>
      </w:r>
    </w:p>
    <w:p>
      <w:pPr>
        <w:spacing w:before="80" w:after="100"/>
        <w:ind w:left="0"/>
      </w:pPr>
      <w:r>
        <w:rPr>
          <w:rFonts w:ascii="Arial" w:cs="Arial" w:eastAsia="Arial" w:hAnsi="Arial"/>
          <w:color w:val="444444"/>
          <w:sz w:val="22"/>
          <w:szCs w:val="22"/>
        </w:rPr>
        <w:t xml:space="preserve">Rather than relying on lagging indicators like moving averages or RSI, this strategy focuses entirely on where price is, not what it has done in the past. It identifies high-probability turning points at key structural levels and waits for one of five confirming candlestick patterns before entering a trade.</w:t>
      </w:r>
    </w:p>
    <w:p>
      <w:pPr>
        <w:spacing w:before="0" w:after="80"/>
      </w:pPr>
      <w:r>
        <w:t xml:space="preserve"/>
      </w:r>
    </w:p>
    <w:p>
      <w:pPr>
        <w:spacing w:before="80" w:after="100"/>
        <w:ind w:left="0"/>
      </w:pPr>
      <w:r>
        <w:rPr>
          <w:rFonts w:ascii="Arial" w:cs="Arial" w:eastAsia="Arial" w:hAnsi="Arial"/>
          <w:color w:val="444444"/>
          <w:sz w:val="22"/>
          <w:szCs w:val="22"/>
        </w:rPr>
        <w:t xml:space="preserve">The strategy is built for the Nasdaq futures markets (NQ and MNQ) and operates exclusively during the London and New York trading sessions — the two periods of highest institutional activity and liquidity.</w:t>
      </w:r>
    </w:p>
    <w:p>
      <w:pPr>
        <w:spacing w:before="0" w:after="14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Core Trading Philosophy</w:t>
      </w:r>
    </w:p>
    <w:p>
      <w:pPr>
        <w:spacing w:before="80" w:after="100"/>
        <w:ind w:left="0"/>
      </w:pPr>
      <w:r>
        <w:rPr>
          <w:rFonts w:ascii="Arial" w:cs="Arial" w:eastAsia="Arial" w:hAnsi="Arial"/>
          <w:color w:val="444444"/>
          <w:sz w:val="22"/>
          <w:szCs w:val="22"/>
        </w:rPr>
        <w:t xml:space="preserve">The strategy is built around one idea: price respects levels. Whether it is a previous day's high, last week's low, or last month's high, these are price points where buyers and sellers previously reached equilibrium. When price returns to these levels, the same battle occurs again — and the strategy is designed to enter at the moment price shows it is rejecting that level.</w:t>
      </w:r>
    </w:p>
    <w:p>
      <w:pPr>
        <w:spacing w:before="0" w:after="80"/>
      </w:pPr>
      <w:r>
        <w:t xml:space="preserve"/>
      </w:r>
    </w:p>
    <w:p>
      <w:pPr>
        <w:spacing w:before="80" w:after="100"/>
        <w:ind w:left="0"/>
      </w:pPr>
      <w:r>
        <w:rPr>
          <w:rFonts w:ascii="Arial" w:cs="Arial" w:eastAsia="Arial" w:hAnsi="Arial"/>
          <w:color w:val="444444"/>
          <w:sz w:val="22"/>
          <w:szCs w:val="22"/>
        </w:rPr>
        <w:t xml:space="preserve">This is a trend-reversal strategy, not a breakout strategy. It waits for price to touch a level, confirm rejection with a candle pattern, then enters in the opposite direction with a predefined stop loss and take profit.</w:t>
      </w:r>
    </w:p>
    <w:p>
      <w:pPr>
        <w:spacing w:before="0" w:after="14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What Markets Does It Trade?</w:t>
      </w:r>
    </w:p>
    <w:p>
      <w:pPr>
        <w:spacing w:before="80" w:after="100"/>
        <w:ind w:left="0"/>
      </w:pPr>
      <w:r>
        <w:rPr>
          <w:rFonts w:ascii="Arial" w:cs="Arial" w:eastAsia="Arial" w:hAnsi="Arial"/>
          <w:color w:val="444444"/>
          <w:sz w:val="22"/>
          <w:szCs w:val="22"/>
        </w:rPr>
        <w:t xml:space="preserve">The strategy was developed and backtested on:</w:t>
      </w:r>
    </w:p>
    <w:p>
      <w:pPr>
        <w:pStyle w:val="ListParagraph"/>
        <w:numPr>
          <w:ilvl w:val="0"/>
          <w:numId w:val="2"/>
        </w:numPr>
        <w:spacing w:before="60" w:after="60"/>
      </w:pPr>
      <w:r>
        <w:rPr>
          <w:rFonts w:ascii="Arial" w:cs="Arial" w:eastAsia="Arial" w:hAnsi="Arial"/>
          <w:color w:val="444444"/>
          <w:sz w:val="22"/>
          <w:szCs w:val="22"/>
        </w:rPr>
        <w:t xml:space="preserve">CME Micro E-mini Nasdaq-100 Futures (MNQ1!) — recommended starting point</w:t>
      </w:r>
    </w:p>
    <w:p>
      <w:pPr>
        <w:pStyle w:val="ListParagraph"/>
        <w:numPr>
          <w:ilvl w:val="0"/>
          <w:numId w:val="2"/>
        </w:numPr>
        <w:spacing w:before="60" w:after="60"/>
      </w:pPr>
      <w:r>
        <w:rPr>
          <w:rFonts w:ascii="Arial" w:cs="Arial" w:eastAsia="Arial" w:hAnsi="Arial"/>
          <w:color w:val="444444"/>
          <w:sz w:val="22"/>
          <w:szCs w:val="22"/>
        </w:rPr>
        <w:t xml:space="preserve">CME E-mini Nasdaq-100 Futures (NQ1!) — for larger account sizes</w:t>
      </w:r>
    </w:p>
    <w:p>
      <w:pPr>
        <w:spacing w:before="0" w:after="80"/>
      </w:pPr>
      <w:r>
        <w:t xml:space="preserve"/>
      </w:r>
    </w:p>
    <w:p>
      <w:pPr>
        <w:spacing w:before="80" w:after="100"/>
        <w:ind w:left="0"/>
      </w:pPr>
      <w:r>
        <w:rPr>
          <w:rFonts w:ascii="Arial" w:cs="Arial" w:eastAsia="Arial" w:hAnsi="Arial"/>
          <w:color w:val="444444"/>
          <w:sz w:val="22"/>
          <w:szCs w:val="22"/>
        </w:rPr>
        <w:t xml:space="preserve">It can be applied to other liquid futures markets (ES, YM, RTY) with adjusted settings, but all backtesting and optimum settings in this guide are based on MNQ/NQ performance data.</w:t>
      </w:r>
    </w:p>
    <w:p>
      <w:pPr>
        <w:spacing w:before="0" w:after="14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Why Does It Work?</w:t>
      </w:r>
    </w:p>
    <w:p>
      <w:pPr>
        <w:spacing w:before="80" w:after="100"/>
        <w:ind w:left="0"/>
      </w:pPr>
      <w:r>
        <w:rPr>
          <w:rFonts w:ascii="Arial" w:cs="Arial" w:eastAsia="Arial" w:hAnsi="Arial"/>
          <w:color w:val="444444"/>
          <w:sz w:val="22"/>
          <w:szCs w:val="22"/>
        </w:rPr>
        <w:t xml:space="preserve">The edge comes from three compounding factors:</w:t>
      </w:r>
    </w:p>
    <w:p>
      <w:pPr>
        <w:pStyle w:val="ListParagraph"/>
        <w:numPr>
          <w:ilvl w:val="0"/>
          <w:numId w:val="3"/>
        </w:numPr>
        <w:spacing w:before="60" w:after="60"/>
      </w:pPr>
      <w:r>
        <w:rPr>
          <w:rFonts w:ascii="Arial" w:cs="Arial" w:eastAsia="Arial" w:hAnsi="Arial"/>
          <w:color w:val="444444"/>
          <w:sz w:val="22"/>
          <w:szCs w:val="22"/>
        </w:rPr>
        <w:t xml:space="preserve">Key levels act as magnets — institutional algorithms are programmed to act at these price points, creating repeatable, predictable behaviour.</w:t>
      </w:r>
    </w:p>
    <w:p>
      <w:pPr>
        <w:pStyle w:val="ListParagraph"/>
        <w:numPr>
          <w:ilvl w:val="0"/>
          <w:numId w:val="3"/>
        </w:numPr>
        <w:spacing w:before="60" w:after="60"/>
      </w:pPr>
      <w:r>
        <w:rPr>
          <w:rFonts w:ascii="Arial" w:cs="Arial" w:eastAsia="Arial" w:hAnsi="Arial"/>
          <w:color w:val="444444"/>
          <w:sz w:val="22"/>
          <w:szCs w:val="22"/>
        </w:rPr>
        <w:t xml:space="preserve">Candlestick pattern confirmation reduces false entries — the strategy will not enter a trade unless price confirms rejection with a recognisable reversal pattern.</w:t>
      </w:r>
    </w:p>
    <w:p>
      <w:pPr>
        <w:pStyle w:val="ListParagraph"/>
        <w:numPr>
          <w:ilvl w:val="0"/>
          <w:numId w:val="3"/>
        </w:numPr>
        <w:spacing w:before="60" w:after="60"/>
      </w:pPr>
      <w:r>
        <w:rPr>
          <w:rFonts w:ascii="Arial" w:cs="Arial" w:eastAsia="Arial" w:hAnsi="Arial"/>
          <w:color w:val="444444"/>
          <w:sz w:val="22"/>
          <w:szCs w:val="22"/>
        </w:rPr>
        <w:t xml:space="preserve">Session filtering — by trading only during London and New York hours, the strategy avoids low-liquidity periods where false moves are far more common.</w:t>
      </w:r>
    </w:p>
    <w:p>
      <w:pPr>
        <w:spacing w:before="0" w:after="200"/>
      </w:pPr>
      <w:r>
        <w:t xml:space="preserve"/>
      </w:r>
    </w:p>
    <w:p>
      <w:r>
        <w:br w:type="page"/>
      </w:r>
    </w:p>
    <w:p>
      <w:pPr>
        <w:pStyle w:val="Heading1"/>
        <w:pBdr>
          <w:bottom w:val="single" w:color="2E75B6" w:sz="4" w:space="1"/>
        </w:pBdr>
        <w:shd w:fill="0D1F3C" w:val="clear"/>
        <w:spacing w:before="0" w:after="200"/>
        <w:ind w:left="280" w:right="280"/>
      </w:pPr>
      <w:r>
        <w:rPr>
          <w:rFonts w:ascii="Arial" w:cs="Arial" w:eastAsia="Arial" w:hAnsi="Arial"/>
          <w:b/>
          <w:bCs/>
          <w:color w:val="FFFFFF"/>
          <w:sz w:val="36"/>
          <w:szCs w:val="36"/>
        </w:rPr>
        <w:t xml:space="preserve">2.  The Key Levels</w:t>
      </w:r>
    </w:p>
    <w:p>
      <w:pPr>
        <w:spacing w:before="0" w:after="100"/>
      </w:pPr>
      <w:r>
        <w:t xml:space="preserve"/>
      </w:r>
    </w:p>
    <w:p>
      <w:pPr>
        <w:spacing w:before="80" w:after="100"/>
        <w:ind w:left="0"/>
      </w:pPr>
      <w:r>
        <w:rPr>
          <w:rFonts w:ascii="Arial" w:cs="Arial" w:eastAsia="Arial" w:hAnsi="Arial"/>
          <w:color w:val="444444"/>
          <w:sz w:val="22"/>
          <w:szCs w:val="22"/>
        </w:rPr>
        <w:t xml:space="preserve">The strategy draws six types of key levels on your chart, each representing a price point with proven historical significance. These levels are plotted automatically and update at the start of each new period.</w:t>
      </w:r>
    </w:p>
    <w:p>
      <w:pPr>
        <w:spacing w:before="0" w:after="14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Previous Day High (PDH) and Low (PDL)</w:t>
      </w:r>
    </w:p>
    <w:p>
      <w:pPr>
        <w:spacing w:before="80" w:after="100"/>
        <w:ind w:left="0"/>
      </w:pPr>
      <w:r>
        <w:rPr>
          <w:rFonts w:ascii="Arial" w:cs="Arial" w:eastAsia="Arial" w:hAnsi="Arial"/>
          <w:color w:val="444444"/>
          <w:sz w:val="22"/>
          <w:szCs w:val="22"/>
        </w:rPr>
        <w:t xml:space="preserve">The highest and lowest price reached on the previous trading day. These are the most frequently respected levels in intraday trading. Institutions use them as reference points for positioning and they often act as support or resistance on the following day.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E75B6" w:sz="1"/>
              <w:left w:val="single" w:color="2E75B6" w:sz="1"/>
              <w:bottom w:val="single" w:color="2E75B6" w:sz="1"/>
              <w:right w:val="single" w:color="2E75B6" w:sz="1"/>
            </w:tcBorders>
            <w:shd w:fill="EAF4FB" w:val="clear"/>
            <w:tcMar>
              <w:top w:type="dxa" w:w="140"/>
              <w:left w:type="dxa" w:w="200"/>
              <w:bottom w:type="dxa" w:w="140"/>
              <w:right w:type="dxa" w:w="200"/>
            </w:tcMar>
          </w:tcPr>
          <w:p>
            <w:pPr>
              <w:spacing w:after="60"/>
            </w:pPr>
            <w:r>
              <w:rPr>
                <w:rFonts w:ascii="Arial" w:cs="Arial" w:eastAsia="Arial" w:hAnsi="Arial"/>
                <w:b/>
                <w:bCs/>
                <w:color w:val="2E75B6"/>
                <w:sz w:val="22"/>
                <w:szCs w:val="22"/>
              </w:rPr>
              <w:t xml:space="preserve">Why it matters</w:t>
            </w:r>
          </w:p>
          <w:p>
            <w:pPr>
              <w:spacing w:after="0"/>
            </w:pPr>
            <w:r>
              <w:rPr>
                <w:rFonts w:ascii="Arial" w:cs="Arial" w:eastAsia="Arial" w:hAnsi="Arial"/>
                <w:color w:val="444444"/>
                <w:sz w:val="21"/>
                <w:szCs w:val="21"/>
              </w:rPr>
              <w:t xml:space="preserve">The previous day's high is where yesterday's buyers ran out of momentum. The previous day's low is where sellers ran out. Price frequently returns to test these points before deciding its next direction.</w:t>
            </w:r>
          </w:p>
        </w:tc>
      </w:tr>
    </w:tbl>
    <w:p>
      <w:pPr>
        <w:spacing w:before="0" w:after="14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Previous Week High (PWH) and Low (PWL)</w:t>
      </w:r>
    </w:p>
    <w:p>
      <w:pPr>
        <w:spacing w:before="80" w:after="100"/>
        <w:ind w:left="0"/>
      </w:pPr>
      <w:r>
        <w:rPr>
          <w:rFonts w:ascii="Arial" w:cs="Arial" w:eastAsia="Arial" w:hAnsi="Arial"/>
          <w:color w:val="444444"/>
          <w:sz w:val="22"/>
          <w:szCs w:val="22"/>
        </w:rPr>
        <w:t xml:space="preserve">The high and low of the previous full trading week. These represent broader institutional positioning and are particularly important at the start of each new week. A break and close above the previous week's high is a bullish signal; below the low is bearish.</w:t>
      </w:r>
    </w:p>
    <w:p>
      <w:pPr>
        <w:spacing w:before="0" w:after="14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Previous Month High (PMH) and Low (PML)</w:t>
      </w:r>
    </w:p>
    <w:p>
      <w:pPr>
        <w:spacing w:before="80" w:after="100"/>
        <w:ind w:left="0"/>
      </w:pPr>
      <w:r>
        <w:rPr>
          <w:rFonts w:ascii="Arial" w:cs="Arial" w:eastAsia="Arial" w:hAnsi="Arial"/>
          <w:color w:val="444444"/>
          <w:sz w:val="22"/>
          <w:szCs w:val="22"/>
        </w:rPr>
        <w:t xml:space="preserve">The extreme points from the previous calendar month. These are major structural levels that often define the direction of multi-week moves. The previous month's high and low are watched by the largest institutional participants.</w:t>
      </w:r>
    </w:p>
    <w:p>
      <w:pPr>
        <w:spacing w:before="0" w:after="14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Previous Friday Close</w:t>
      </w:r>
    </w:p>
    <w:p>
      <w:pPr>
        <w:spacing w:before="80" w:after="100"/>
        <w:ind w:left="0"/>
      </w:pPr>
      <w:r>
        <w:rPr>
          <w:rFonts w:ascii="Arial" w:cs="Arial" w:eastAsia="Arial" w:hAnsi="Arial"/>
          <w:color w:val="444444"/>
          <w:sz w:val="22"/>
          <w:szCs w:val="22"/>
        </w:rPr>
        <w:t xml:space="preserve">The closing price of the most recent Friday session. This level is used by many traders and algorithms as a weekly reference point. Price trading above the Friday close is generally bullish for the week; below is bearish. The strategy colours this level white and labels it accordingly.</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E75B6" w:sz="1"/>
              <w:left w:val="single" w:color="2E75B6" w:sz="1"/>
              <w:bottom w:val="single" w:color="2E75B6" w:sz="1"/>
              <w:right w:val="single" w:color="2E75B6" w:sz="1"/>
            </w:tcBorders>
            <w:shd w:fill="EAF4FB" w:val="clear"/>
            <w:tcMar>
              <w:top w:type="dxa" w:w="140"/>
              <w:left w:type="dxa" w:w="200"/>
              <w:bottom w:type="dxa" w:w="140"/>
              <w:right w:type="dxa" w:w="200"/>
            </w:tcMar>
          </w:tcPr>
          <w:p>
            <w:pPr>
              <w:spacing w:after="60"/>
            </w:pPr>
            <w:r>
              <w:rPr>
                <w:rFonts w:ascii="Arial" w:cs="Arial" w:eastAsia="Arial" w:hAnsi="Arial"/>
                <w:b/>
                <w:bCs/>
                <w:color w:val="2E75B6"/>
                <w:sz w:val="22"/>
                <w:szCs w:val="22"/>
              </w:rPr>
              <w:t xml:space="preserve">How levels are drawn</w:t>
            </w:r>
          </w:p>
          <w:p>
            <w:pPr>
              <w:spacing w:after="0"/>
            </w:pPr>
            <w:r>
              <w:rPr>
                <w:rFonts w:ascii="Arial" w:cs="Arial" w:eastAsia="Arial" w:hAnsi="Arial"/>
                <w:color w:val="444444"/>
                <w:sz w:val="21"/>
                <w:szCs w:val="21"/>
              </w:rPr>
              <w:t xml:space="preserve">Each level is drawn as a single horizontal line extending to the right. The colour coding is: Red = Previous Day High, Green = Previous Day Low, Blue = Weekly levels, Orange = Monthly levels, White = Friday Close. Labels float at the right edge of the chart and update on every bar.</w:t>
            </w:r>
          </w:p>
        </w:tc>
      </w:tr>
    </w:tbl>
    <w:p>
      <w:pPr>
        <w:spacing w:before="0" w:after="200"/>
      </w:pPr>
      <w:r>
        <w:t xml:space="preserve"/>
      </w:r>
    </w:p>
    <w:p>
      <w:r>
        <w:br w:type="page"/>
      </w:r>
    </w:p>
    <w:p>
      <w:pPr>
        <w:pStyle w:val="Heading1"/>
        <w:pBdr>
          <w:bottom w:val="single" w:color="2E75B6" w:sz="4" w:space="1"/>
        </w:pBdr>
        <w:shd w:fill="0D1F3C" w:val="clear"/>
        <w:spacing w:before="0" w:after="200"/>
        <w:ind w:left="280" w:right="280"/>
      </w:pPr>
      <w:r>
        <w:rPr>
          <w:rFonts w:ascii="Arial" w:cs="Arial" w:eastAsia="Arial" w:hAnsi="Arial"/>
          <w:b/>
          <w:bCs/>
          <w:color w:val="FFFFFF"/>
          <w:sz w:val="36"/>
          <w:szCs w:val="36"/>
        </w:rPr>
        <w:t xml:space="preserve">3.  The Five Signal Types</w:t>
      </w:r>
    </w:p>
    <w:p>
      <w:pPr>
        <w:spacing w:before="0" w:after="100"/>
      </w:pPr>
      <w:r>
        <w:t xml:space="preserve"/>
      </w:r>
    </w:p>
    <w:p>
      <w:pPr>
        <w:spacing w:before="80" w:after="100"/>
        <w:ind w:left="0"/>
      </w:pPr>
      <w:r>
        <w:rPr>
          <w:rFonts w:ascii="Arial" w:cs="Arial" w:eastAsia="Arial" w:hAnsi="Arial"/>
          <w:color w:val="444444"/>
          <w:sz w:val="22"/>
          <w:szCs w:val="22"/>
        </w:rPr>
        <w:t xml:space="preserve">The strategy uses five distinct candlestick patterns to confirm a reversal at a key level. A trade is only entered when price is within the Level Touch Zone of a key level AND one of these patterns forms. Each pattern can be toggled on or off independently.</w:t>
      </w:r>
    </w:p>
    <w:p>
      <w:pPr>
        <w:spacing w:before="0" w:after="14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1.  Pin Bar Rejection</w:t>
      </w:r>
    </w:p>
    <w:p>
      <w:pPr>
        <w:spacing w:before="80" w:after="100"/>
        <w:ind w:left="0"/>
      </w:pPr>
      <w:r>
        <w:rPr>
          <w:rFonts w:ascii="Arial" w:cs="Arial" w:eastAsia="Arial" w:hAnsi="Arial"/>
          <w:color w:val="444444"/>
          <w:sz w:val="22"/>
          <w:szCs w:val="22"/>
        </w:rPr>
        <w:t xml:space="preserve">A candle with a long wick pointing towards the level and a small body. A bullish pin bar has a long lower wick rejecting support; a bearish pin bar has a long upper wick rejecting resistance.</w:t>
      </w:r>
    </w:p>
    <w:p>
      <w:pPr>
        <w:pStyle w:val="ListParagraph"/>
        <w:numPr>
          <w:ilvl w:val="0"/>
          <w:numId w:val="2"/>
        </w:numPr>
        <w:spacing w:before="60" w:after="60"/>
      </w:pPr>
      <w:r>
        <w:rPr>
          <w:rFonts w:ascii="Arial" w:cs="Arial" w:eastAsia="Arial" w:hAnsi="Arial"/>
          <w:color w:val="444444"/>
          <w:sz w:val="22"/>
          <w:szCs w:val="22"/>
        </w:rPr>
        <w:t xml:space="preserve">Conditions: wick must be at least 2x the body size, opposite wick must be less than 0.5x the body</w:t>
      </w:r>
    </w:p>
    <w:p>
      <w:pPr>
        <w:pStyle w:val="ListParagraph"/>
        <w:numPr>
          <w:ilvl w:val="0"/>
          <w:numId w:val="2"/>
        </w:numPr>
        <w:spacing w:before="60" w:after="60"/>
      </w:pPr>
      <w:r>
        <w:rPr>
          <w:rFonts w:ascii="Arial" w:cs="Arial" w:eastAsia="Arial" w:hAnsi="Arial"/>
          <w:color w:val="444444"/>
          <w:sz w:val="22"/>
          <w:szCs w:val="22"/>
        </w:rPr>
        <w:t xml:space="preserve">Best setting for NQ/MNQ: Enabled</w:t>
      </w:r>
    </w:p>
    <w:p>
      <w:pPr>
        <w:pStyle w:val="ListParagraph"/>
        <w:numPr>
          <w:ilvl w:val="0"/>
          <w:numId w:val="2"/>
        </w:numPr>
        <w:spacing w:before="60" w:after="60"/>
      </w:pPr>
      <w:r>
        <w:rPr>
          <w:rFonts w:ascii="Arial" w:cs="Arial" w:eastAsia="Arial" w:hAnsi="Arial"/>
          <w:color w:val="444444"/>
          <w:sz w:val="22"/>
          <w:szCs w:val="22"/>
        </w:rPr>
        <w:t xml:space="preserve">What it tells you: Price aggressively tested the level but buyers (or sellers) rejected it strongly</w:t>
      </w:r>
    </w:p>
    <w:p>
      <w:pPr>
        <w:spacing w:before="0" w:after="14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2.  Bearish / Bullish Engulfing</w:t>
      </w:r>
    </w:p>
    <w:p>
      <w:pPr>
        <w:spacing w:before="80" w:after="100"/>
        <w:ind w:left="0"/>
      </w:pPr>
      <w:r>
        <w:rPr>
          <w:rFonts w:ascii="Arial" w:cs="Arial" w:eastAsia="Arial" w:hAnsi="Arial"/>
          <w:color w:val="444444"/>
          <w:sz w:val="22"/>
          <w:szCs w:val="22"/>
        </w:rPr>
        <w:t xml:space="preserve">A candle that completely engulfs the body of the previous candle, signalling a shift in momentum. Four engulfing types are available — from Basic (body only) to Volume Confirmed (requires above-average volume).</w:t>
      </w:r>
    </w:p>
    <w:p>
      <w:pPr>
        <w:pStyle w:val="ListParagraph"/>
        <w:numPr>
          <w:ilvl w:val="0"/>
          <w:numId w:val="2"/>
        </w:numPr>
        <w:spacing w:before="60" w:after="60"/>
      </w:pPr>
      <w:r>
        <w:rPr>
          <w:rFonts w:ascii="Arial" w:cs="Arial" w:eastAsia="Arial" w:hAnsi="Arial"/>
          <w:color w:val="444444"/>
          <w:sz w:val="22"/>
          <w:szCs w:val="22"/>
        </w:rPr>
        <w:t xml:space="preserve">Basic: current candle body fully covers previous candle body</w:t>
      </w:r>
    </w:p>
    <w:p>
      <w:pPr>
        <w:pStyle w:val="ListParagraph"/>
        <w:numPr>
          <w:ilvl w:val="0"/>
          <w:numId w:val="2"/>
        </w:numPr>
        <w:spacing w:before="60" w:after="60"/>
      </w:pPr>
      <w:r>
        <w:rPr>
          <w:rFonts w:ascii="Arial" w:cs="Arial" w:eastAsia="Arial" w:hAnsi="Arial"/>
          <w:color w:val="444444"/>
          <w:sz w:val="22"/>
          <w:szCs w:val="22"/>
        </w:rPr>
        <w:t xml:space="preserve">Strict: current candle covers the full range including wicks of the previous candle</w:t>
      </w:r>
    </w:p>
    <w:p>
      <w:pPr>
        <w:pStyle w:val="ListParagraph"/>
        <w:numPr>
          <w:ilvl w:val="0"/>
          <w:numId w:val="2"/>
        </w:numPr>
        <w:spacing w:before="60" w:after="60"/>
      </w:pPr>
      <w:r>
        <w:rPr>
          <w:rFonts w:ascii="Arial" w:cs="Arial" w:eastAsia="Arial" w:hAnsi="Arial"/>
          <w:color w:val="444444"/>
          <w:sz w:val="22"/>
          <w:szCs w:val="22"/>
        </w:rPr>
        <w:t xml:space="preserve">Large Body: basic engulf + body must be more than 60% of the candle range</w:t>
      </w:r>
    </w:p>
    <w:p>
      <w:pPr>
        <w:pStyle w:val="ListParagraph"/>
        <w:numPr>
          <w:ilvl w:val="0"/>
          <w:numId w:val="2"/>
        </w:numPr>
        <w:spacing w:before="60" w:after="60"/>
      </w:pPr>
      <w:r>
        <w:rPr>
          <w:rFonts w:ascii="Arial" w:cs="Arial" w:eastAsia="Arial" w:hAnsi="Arial"/>
          <w:color w:val="444444"/>
          <w:sz w:val="22"/>
          <w:szCs w:val="22"/>
        </w:rPr>
        <w:t xml:space="preserve">Volume Confirmed: basic engulf + volume above 20-bar average</w:t>
      </w:r>
    </w:p>
    <w:p>
      <w:pPr>
        <w:pStyle w:val="ListParagraph"/>
        <w:numPr>
          <w:ilvl w:val="0"/>
          <w:numId w:val="2"/>
        </w:numPr>
        <w:spacing w:before="60" w:after="60"/>
      </w:pPr>
      <w:r>
        <w:rPr>
          <w:rFonts w:ascii="Arial" w:cs="Arial" w:eastAsia="Arial" w:hAnsi="Arial"/>
          <w:color w:val="444444"/>
          <w:sz w:val="22"/>
          <w:szCs w:val="22"/>
        </w:rPr>
        <w:t xml:space="preserve">Best setting for NQ/MNQ: Strict (reduces false signals in volatile markets)</w:t>
      </w:r>
    </w:p>
    <w:p>
      <w:pPr>
        <w:spacing w:before="0" w:after="14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3.  3-Candle Reversal</w:t>
      </w:r>
    </w:p>
    <w:p>
      <w:pPr>
        <w:spacing w:before="80" w:after="100"/>
        <w:ind w:left="0"/>
      </w:pPr>
      <w:r>
        <w:rPr>
          <w:rFonts w:ascii="Arial" w:cs="Arial" w:eastAsia="Arial" w:hAnsi="Arial"/>
          <w:color w:val="444444"/>
          <w:sz w:val="22"/>
          <w:szCs w:val="22"/>
        </w:rPr>
        <w:t xml:space="preserve">Three consecutive candles building in the same direction, followed by a reversal candle that closes past the open of the second candle. This pattern confirms that a short-term trend has exhausted itself at a level.</w:t>
      </w:r>
    </w:p>
    <w:p>
      <w:pPr>
        <w:pStyle w:val="ListParagraph"/>
        <w:numPr>
          <w:ilvl w:val="0"/>
          <w:numId w:val="2"/>
        </w:numPr>
        <w:spacing w:before="60" w:after="60"/>
      </w:pPr>
      <w:r>
        <w:rPr>
          <w:rFonts w:ascii="Arial" w:cs="Arial" w:eastAsia="Arial" w:hAnsi="Arial"/>
          <w:color w:val="444444"/>
          <w:sz w:val="22"/>
          <w:szCs w:val="22"/>
        </w:rPr>
        <w:t xml:space="preserve">Bullish: two bearish candles (each closing lower) followed by a bullish close above bar[-1] open</w:t>
      </w:r>
    </w:p>
    <w:p>
      <w:pPr>
        <w:pStyle w:val="ListParagraph"/>
        <w:numPr>
          <w:ilvl w:val="0"/>
          <w:numId w:val="2"/>
        </w:numPr>
        <w:spacing w:before="60" w:after="60"/>
      </w:pPr>
      <w:r>
        <w:rPr>
          <w:rFonts w:ascii="Arial" w:cs="Arial" w:eastAsia="Arial" w:hAnsi="Arial"/>
          <w:color w:val="444444"/>
          <w:sz w:val="22"/>
          <w:szCs w:val="22"/>
        </w:rPr>
        <w:t xml:space="preserve">Bearish: two bullish candles (each closing higher) followed by a bearish close below bar[-1] open</w:t>
      </w:r>
    </w:p>
    <w:p>
      <w:pPr>
        <w:pStyle w:val="ListParagraph"/>
        <w:numPr>
          <w:ilvl w:val="0"/>
          <w:numId w:val="2"/>
        </w:numPr>
        <w:spacing w:before="60" w:after="60"/>
      </w:pPr>
      <w:r>
        <w:rPr>
          <w:rFonts w:ascii="Arial" w:cs="Arial" w:eastAsia="Arial" w:hAnsi="Arial"/>
          <w:color w:val="444444"/>
          <w:sz w:val="22"/>
          <w:szCs w:val="22"/>
        </w:rPr>
        <w:t xml:space="preserve">Best setting for NQ/MNQ: Enabled</w:t>
      </w:r>
    </w:p>
    <w:p>
      <w:pPr>
        <w:spacing w:before="0" w:after="14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4.  Liquidity Sweep + Return</w:t>
      </w:r>
    </w:p>
    <w:p>
      <w:pPr>
        <w:spacing w:before="80" w:after="100"/>
        <w:ind w:left="0"/>
      </w:pPr>
      <w:r>
        <w:rPr>
          <w:rFonts w:ascii="Arial" w:cs="Arial" w:eastAsia="Arial" w:hAnsi="Arial"/>
          <w:color w:val="444444"/>
          <w:sz w:val="22"/>
          <w:szCs w:val="22"/>
        </w:rPr>
        <w:t xml:space="preserve">Price briefly pierces through a key level (sweeping the stops of traders positioned at that level) but then closes back on the other side. This is one of the most powerful signals because it represents a deliberate institutional move to trigger stop losses before reversing.</w:t>
      </w:r>
    </w:p>
    <w:p>
      <w:pPr>
        <w:pStyle w:val="ListParagraph"/>
        <w:numPr>
          <w:ilvl w:val="0"/>
          <w:numId w:val="2"/>
        </w:numPr>
        <w:spacing w:before="60" w:after="60"/>
      </w:pPr>
      <w:r>
        <w:rPr>
          <w:rFonts w:ascii="Arial" w:cs="Arial" w:eastAsia="Arial" w:hAnsi="Arial"/>
          <w:color w:val="444444"/>
          <w:sz w:val="22"/>
          <w:szCs w:val="22"/>
        </w:rPr>
        <w:t xml:space="preserve">Bullish: wick below the level, close above it</w:t>
      </w:r>
    </w:p>
    <w:p>
      <w:pPr>
        <w:pStyle w:val="ListParagraph"/>
        <w:numPr>
          <w:ilvl w:val="0"/>
          <w:numId w:val="2"/>
        </w:numPr>
        <w:spacing w:before="60" w:after="60"/>
      </w:pPr>
      <w:r>
        <w:rPr>
          <w:rFonts w:ascii="Arial" w:cs="Arial" w:eastAsia="Arial" w:hAnsi="Arial"/>
          <w:color w:val="444444"/>
          <w:sz w:val="22"/>
          <w:szCs w:val="22"/>
        </w:rPr>
        <w:t xml:space="preserve">Bearish: wick above the level, close below it</w:t>
      </w:r>
    </w:p>
    <w:p>
      <w:pPr>
        <w:pStyle w:val="ListParagraph"/>
        <w:numPr>
          <w:ilvl w:val="0"/>
          <w:numId w:val="2"/>
        </w:numPr>
        <w:spacing w:before="60" w:after="60"/>
      </w:pPr>
      <w:r>
        <w:rPr>
          <w:rFonts w:ascii="Arial" w:cs="Arial" w:eastAsia="Arial" w:hAnsi="Arial"/>
          <w:color w:val="444444"/>
          <w:sz w:val="22"/>
          <w:szCs w:val="22"/>
        </w:rPr>
        <w:t xml:space="preserve">Best setting for NQ/MNQ: Enabled — this is often the highest-probability signal</w:t>
      </w:r>
    </w:p>
    <w:p>
      <w:pPr>
        <w:spacing w:before="0" w:after="14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5.  Morning Star / Evening Star</w:t>
      </w:r>
    </w:p>
    <w:p>
      <w:pPr>
        <w:spacing w:before="80" w:after="100"/>
        <w:ind w:left="0"/>
      </w:pPr>
      <w:r>
        <w:rPr>
          <w:rFonts w:ascii="Arial" w:cs="Arial" w:eastAsia="Arial" w:hAnsi="Arial"/>
          <w:color w:val="444444"/>
          <w:sz w:val="22"/>
          <w:szCs w:val="22"/>
        </w:rPr>
        <w:t xml:space="preserve">A three-candle reversal pattern. The Morning Star (bullish) consists of a strong bearish candle, a small indecision/doji candle at the level, then a strong bullish candle closing above the midpoint of the first candle. The Evening Star is the mirror image.</w:t>
      </w:r>
    </w:p>
    <w:p>
      <w:pPr>
        <w:pStyle w:val="ListParagraph"/>
        <w:numPr>
          <w:ilvl w:val="0"/>
          <w:numId w:val="2"/>
        </w:numPr>
        <w:spacing w:before="60" w:after="60"/>
      </w:pPr>
      <w:r>
        <w:rPr>
          <w:rFonts w:ascii="Arial" w:cs="Arial" w:eastAsia="Arial" w:hAnsi="Arial"/>
          <w:color w:val="444444"/>
          <w:sz w:val="22"/>
          <w:szCs w:val="22"/>
        </w:rPr>
        <w:t xml:space="preserve">Requires: first candle body &gt; 50% of middle candle range, middle candle body &lt; 30% of its range</w:t>
      </w:r>
    </w:p>
    <w:p>
      <w:pPr>
        <w:pStyle w:val="ListParagraph"/>
        <w:numPr>
          <w:ilvl w:val="0"/>
          <w:numId w:val="2"/>
        </w:numPr>
        <w:spacing w:before="60" w:after="60"/>
      </w:pPr>
      <w:r>
        <w:rPr>
          <w:rFonts w:ascii="Arial" w:cs="Arial" w:eastAsia="Arial" w:hAnsi="Arial"/>
          <w:color w:val="444444"/>
          <w:sz w:val="22"/>
          <w:szCs w:val="22"/>
        </w:rPr>
        <w:t xml:space="preserve">Best setting for NQ/MNQ: Enabled</w:t>
      </w:r>
    </w:p>
    <w:p>
      <w:pPr>
        <w:pStyle w:val="ListParagraph"/>
        <w:numPr>
          <w:ilvl w:val="0"/>
          <w:numId w:val="2"/>
        </w:numPr>
        <w:spacing w:before="60" w:after="60"/>
      </w:pPr>
      <w:r>
        <w:rPr>
          <w:rFonts w:ascii="Arial" w:cs="Arial" w:eastAsia="Arial" w:hAnsi="Arial"/>
          <w:color w:val="444444"/>
          <w:sz w:val="22"/>
          <w:szCs w:val="22"/>
        </w:rPr>
        <w:t xml:space="preserve">Note: rarer than other patterns but high accuracy when it forms at a level</w:t>
      </w:r>
    </w:p>
    <w:p>
      <w:pPr>
        <w:spacing w:before="0" w:after="200"/>
      </w:pPr>
      <w:r>
        <w:t xml:space="preserve"/>
      </w:r>
    </w:p>
    <w:p>
      <w:r>
        <w:br w:type="page"/>
      </w:r>
    </w:p>
    <w:p>
      <w:pPr>
        <w:pStyle w:val="Heading1"/>
        <w:pBdr>
          <w:bottom w:val="single" w:color="2E75B6" w:sz="4" w:space="1"/>
        </w:pBdr>
        <w:shd w:fill="0D1F3C" w:val="clear"/>
        <w:spacing w:before="0" w:after="200"/>
        <w:ind w:left="280" w:right="280"/>
      </w:pPr>
      <w:r>
        <w:rPr>
          <w:rFonts w:ascii="Arial" w:cs="Arial" w:eastAsia="Arial" w:hAnsi="Arial"/>
          <w:b/>
          <w:bCs/>
          <w:color w:val="FFFFFF"/>
          <w:sz w:val="36"/>
          <w:szCs w:val="36"/>
        </w:rPr>
        <w:t xml:space="preserve">4.  Complete Settings Reference</w:t>
      </w:r>
    </w:p>
    <w:p>
      <w:pPr>
        <w:spacing w:before="0" w:after="100"/>
      </w:pPr>
      <w:r>
        <w:t xml:space="preserve"/>
      </w:r>
    </w:p>
    <w:p>
      <w:pPr>
        <w:spacing w:before="80" w:after="100"/>
        <w:ind w:left="0"/>
      </w:pPr>
      <w:r>
        <w:rPr>
          <w:rFonts w:ascii="Arial" w:cs="Arial" w:eastAsia="Arial" w:hAnsi="Arial"/>
          <w:color w:val="444444"/>
          <w:sz w:val="22"/>
          <w:szCs w:val="22"/>
        </w:rPr>
        <w:t xml:space="preserve">Every setting group is explained below. The tables show the setting name, its default value, and what it controls.</w:t>
      </w:r>
    </w:p>
    <w:p>
      <w:pPr>
        <w:spacing w:before="0" w:after="140"/>
      </w:pPr>
      <w:r>
        <w:t xml:space="preserve"/>
      </w:r>
    </w:p>
    <w:p>
      <w:pPr>
        <w:pStyle w:val="Heading2"/>
        <w:shd w:fill="1E3A5F" w:val="clear"/>
        <w:spacing w:before="360" w:after="160"/>
        <w:ind w:left="200" w:right="200"/>
      </w:pPr>
      <w:r>
        <w:rPr>
          <w:rFonts w:ascii="Arial" w:cs="Arial" w:eastAsia="Arial" w:hAnsi="Arial"/>
          <w:b/>
          <w:bCs/>
          <w:color w:val="FFFFFF"/>
          <w:sz w:val="28"/>
          <w:szCs w:val="28"/>
        </w:rPr>
        <w:t xml:space="preserve">4.1  Key Levels</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1800"/>
        <w:gridCol w:w="4360"/>
      </w:tblGrid>
      <w:tr>
        <w:tc>
          <w:tcPr>
            <w:tcW w:type="dxa" w:w="320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Setting</w:t>
            </w:r>
          </w:p>
        </w:tc>
        <w:tc>
          <w:tcPr>
            <w:tcW w:type="dxa" w:w="180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Default</w:t>
            </w:r>
          </w:p>
        </w:tc>
        <w:tc>
          <w:tcPr>
            <w:tcW w:type="dxa" w:w="436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What it does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Use Previous Day High</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Draws the PDH level and includes it in signal detection. Disable if your instrument does not respect daily levels.</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Use Previous Day Low</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val="false"/>
                <w:bCs w:val="false"/>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Draws the PDL level and includes it in signal detection.</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Use Previous Week High</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Draws the PWH level. Most useful at the start of a new week.</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Use Previous Week Low</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val="false"/>
                <w:bCs w:val="false"/>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Draws the PWL level.</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Use Previous Month High</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Draws the PMH level. Most useful in the first week of a new month.</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Use Previous Month Low</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val="false"/>
                <w:bCs w:val="false"/>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Draws the PML level.</w:t>
            </w:r>
          </w:p>
        </w:tc>
      </w:tr>
    </w:tbl>
    <w:p>
      <w:pPr>
        <w:spacing w:before="0" w:after="200"/>
      </w:pPr>
      <w:r>
        <w:t xml:space="preserve"/>
      </w:r>
    </w:p>
    <w:p>
      <w:pPr>
        <w:pStyle w:val="Heading2"/>
        <w:shd w:fill="1E3A5F" w:val="clear"/>
        <w:spacing w:before="360" w:after="160"/>
        <w:ind w:left="200" w:right="200"/>
      </w:pPr>
      <w:r>
        <w:rPr>
          <w:rFonts w:ascii="Arial" w:cs="Arial" w:eastAsia="Arial" w:hAnsi="Arial"/>
          <w:b/>
          <w:bCs/>
          <w:color w:val="FFFFFF"/>
          <w:sz w:val="28"/>
          <w:szCs w:val="28"/>
        </w:rPr>
        <w:t xml:space="preserve">4.2  Signal Types</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1800"/>
        <w:gridCol w:w="4360"/>
      </w:tblGrid>
      <w:tr>
        <w:tc>
          <w:tcPr>
            <w:tcW w:type="dxa" w:w="320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Setting</w:t>
            </w:r>
          </w:p>
        </w:tc>
        <w:tc>
          <w:tcPr>
            <w:tcW w:type="dxa" w:w="180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Default</w:t>
            </w:r>
          </w:p>
        </w:tc>
        <w:tc>
          <w:tcPr>
            <w:tcW w:type="dxa" w:w="436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What it does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Pin Bar Rejection</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Enables pin bar entry signals at key levels.</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Bearish/Bullish Engulfing</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val="false"/>
                <w:bCs w:val="false"/>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Enables engulfing candle entry signals.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Engulfing Type</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2E75B6"/>
                <w:sz w:val="20"/>
                <w:szCs w:val="20"/>
              </w:rPr>
              <w:t xml:space="preserve">Basic</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Controls how strict the engulfing definition is. Options: Basic, Strict, Large Body, Volume Confirmed.</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3-Candle Reversal</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val="false"/>
                <w:bCs w:val="false"/>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Enables the 3-bar reversal pattern.</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Liquidity Sweep + Return</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Enables liquidity sweep entries — often the highest probability signal.</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Morning/Evening Star</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val="false"/>
                <w:bCs w:val="false"/>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Enables the 3-candle star patterns.</w:t>
            </w:r>
          </w:p>
        </w:tc>
      </w:tr>
    </w:tbl>
    <w:p>
      <w:pPr>
        <w:spacing w:before="0" w:after="200"/>
      </w:pPr>
      <w:r>
        <w:t xml:space="preserve"/>
      </w:r>
    </w:p>
    <w:p>
      <w:pPr>
        <w:pStyle w:val="Heading2"/>
        <w:shd w:fill="1E3A5F" w:val="clear"/>
        <w:spacing w:before="360" w:after="160"/>
        <w:ind w:left="200" w:right="200"/>
      </w:pPr>
      <w:r>
        <w:rPr>
          <w:rFonts w:ascii="Arial" w:cs="Arial" w:eastAsia="Arial" w:hAnsi="Arial"/>
          <w:b/>
          <w:bCs/>
          <w:color w:val="FFFFFF"/>
          <w:sz w:val="28"/>
          <w:szCs w:val="28"/>
        </w:rPr>
        <w:t xml:space="preserve">4.3  Risk Management</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1800"/>
        <w:gridCol w:w="4360"/>
      </w:tblGrid>
      <w:tr>
        <w:tc>
          <w:tcPr>
            <w:tcW w:type="dxa" w:w="320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Setting</w:t>
            </w:r>
          </w:p>
        </w:tc>
        <w:tc>
          <w:tcPr>
            <w:tcW w:type="dxa" w:w="180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Default</w:t>
            </w:r>
          </w:p>
        </w:tc>
        <w:tc>
          <w:tcPr>
            <w:tcW w:type="dxa" w:w="436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What it does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Stop Loss (Points)</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2E75B6"/>
                <w:sz w:val="20"/>
                <w:szCs w:val="20"/>
              </w:rPr>
              <w:t xml:space="preserve">80</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Distance in points from entry to stop loss. For MNQ, 1 point = $2.00. 80 points = $160 risk per trade at 4 contracts.</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Take Profit (Points)</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val="false"/>
                <w:bCs w:val="false"/>
                <w:color w:val="2E75B6"/>
                <w:sz w:val="20"/>
                <w:szCs w:val="20"/>
              </w:rPr>
              <w:t xml:space="preserve">10</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Distance in points from entry to take profit. Set this based on your desired risk:reward ratio.</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Level Touch Zone (Points)</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2E75B6"/>
                <w:sz w:val="20"/>
                <w:szCs w:val="20"/>
              </w:rPr>
              <w:t xml:space="preserve">8</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How close price must be to a level for a signal to qualify. Wider = more signals, more false entries. Narrower = fewer, higher quality signals.</w:t>
            </w:r>
          </w:p>
        </w:tc>
      </w:tr>
    </w:tbl>
    <w:p>
      <w:pPr>
        <w:spacing w:before="0" w:after="200"/>
      </w:pPr>
      <w:r>
        <w:t xml:space="preserve"/>
      </w:r>
    </w:p>
    <w:p>
      <w:pPr>
        <w:pStyle w:val="Heading2"/>
        <w:shd w:fill="1E3A5F" w:val="clear"/>
        <w:spacing w:before="360" w:after="160"/>
        <w:ind w:left="200" w:right="200"/>
      </w:pPr>
      <w:r>
        <w:rPr>
          <w:rFonts w:ascii="Arial" w:cs="Arial" w:eastAsia="Arial" w:hAnsi="Arial"/>
          <w:b/>
          <w:bCs/>
          <w:color w:val="FFFFFF"/>
          <w:sz w:val="28"/>
          <w:szCs w:val="28"/>
        </w:rPr>
        <w:t xml:space="preserve">4.4  Daily P&amp;L Limits</w:t>
      </w:r>
    </w:p>
    <w:p>
      <w:pPr>
        <w:spacing w:before="0" w:after="80"/>
      </w:pPr>
      <w:r>
        <w:t xml:space="preserve"/>
      </w:r>
    </w:p>
    <w:p>
      <w:pPr>
        <w:spacing w:before="80" w:after="100"/>
        <w:ind w:left="0"/>
      </w:pPr>
      <w:r>
        <w:rPr>
          <w:rFonts w:ascii="Arial" w:cs="Arial" w:eastAsia="Arial" w:hAnsi="Arial"/>
          <w:color w:val="444444"/>
          <w:sz w:val="22"/>
          <w:szCs w:val="22"/>
        </w:rPr>
        <w:t xml:space="preserve">These settings protect your daily and weekly performance by automatically stopping the bot when targets are hit and closing any open trade at the moment a limit is breached.</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1800"/>
        <w:gridCol w:w="4360"/>
      </w:tblGrid>
      <w:tr>
        <w:tc>
          <w:tcPr>
            <w:tcW w:type="dxa" w:w="320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Setting</w:t>
            </w:r>
          </w:p>
        </w:tc>
        <w:tc>
          <w:tcPr>
            <w:tcW w:type="dxa" w:w="180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Default</w:t>
            </w:r>
          </w:p>
        </w:tc>
        <w:tc>
          <w:tcPr>
            <w:tcW w:type="dxa" w:w="436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What it does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Enable Daily Profit Target</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When enabled, no new trades will open once the daily profit target is reached for the day.</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Daily Profit Target ($)</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val="false"/>
                <w:bCs w:val="false"/>
                <w:color w:val="2E75B6"/>
                <w:sz w:val="20"/>
                <w:szCs w:val="20"/>
              </w:rPr>
              <w:t xml:space="preserve">$400</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The dollar amount of realised closed-trade profit at which the bot stops trading for the day. Resets at midnight.</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Enable Daily Loss Limit</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When enabled, no new trades will open once the daily loss limit is reached.</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Daily Max Loss ($)</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val="false"/>
                <w:bCs w:val="false"/>
                <w:color w:val="2E75B6"/>
                <w:sz w:val="20"/>
                <w:szCs w:val="20"/>
              </w:rPr>
              <w:t xml:space="preserve">$800</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The maximum dollar loss allowed in a day before trading is halted. Any open trade is closed immediately when this is hit.</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Enable Weekly Profit Target</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When enabled, the bot stops trading for the week once the weekly target is reached.</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Weekly Profit Target ($)</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val="false"/>
                <w:bCs w:val="false"/>
                <w:color w:val="2E75B6"/>
                <w:sz w:val="20"/>
                <w:szCs w:val="20"/>
              </w:rPr>
              <w:t xml:space="preserve">$3,000</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The weekly closed-trade profit target. Resets every Monday at market open.</w:t>
            </w:r>
          </w:p>
        </w:tc>
      </w:tr>
    </w:tbl>
    <w:p>
      <w:pPr>
        <w:spacing w:before="0" w:after="200"/>
      </w:pPr>
      <w:r>
        <w:t xml:space="preserve"/>
      </w:r>
    </w:p>
    <w:p>
      <w:pPr>
        <w:pStyle w:val="Heading2"/>
        <w:shd w:fill="1E3A5F" w:val="clear"/>
        <w:spacing w:before="360" w:after="160"/>
        <w:ind w:left="200" w:right="200"/>
      </w:pPr>
      <w:r>
        <w:rPr>
          <w:rFonts w:ascii="Arial" w:cs="Arial" w:eastAsia="Arial" w:hAnsi="Arial"/>
          <w:b/>
          <w:bCs/>
          <w:color w:val="FFFFFF"/>
          <w:sz w:val="28"/>
          <w:szCs w:val="28"/>
        </w:rPr>
        <w:t xml:space="preserve">4.5  Backtest Range</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1800"/>
        <w:gridCol w:w="4360"/>
      </w:tblGrid>
      <w:tr>
        <w:tc>
          <w:tcPr>
            <w:tcW w:type="dxa" w:w="320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Setting</w:t>
            </w:r>
          </w:p>
        </w:tc>
        <w:tc>
          <w:tcPr>
            <w:tcW w:type="dxa" w:w="180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Default</w:t>
            </w:r>
          </w:p>
        </w:tc>
        <w:tc>
          <w:tcPr>
            <w:tcW w:type="dxa" w:w="436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What it does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Enable Backtest Date Range</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Gates all entries to the chosen date window. Disable to run on all available chart history.</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Start Date</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val="false"/>
                <w:bCs w:val="false"/>
                <w:color w:val="2E75B6"/>
                <w:sz w:val="20"/>
                <w:szCs w:val="20"/>
              </w:rPr>
              <w:t xml:space="preserve">13 Mar 2023</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The earliest date on which the strategy will take trades. Set 3 years back for a meaningful backtest sample.</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End Date</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2E75B6"/>
                <w:sz w:val="20"/>
                <w:szCs w:val="20"/>
              </w:rPr>
              <w:t xml:space="preserve">31 Dec 2099</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The latest date for entries. Leave at 2099 to run continuously into the future.</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Backtest Mode</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val="false"/>
                <w:bCs w:val="false"/>
                <w:color w:val="2E75B6"/>
                <w:sz w:val="20"/>
                <w:szCs w:val="20"/>
              </w:rPr>
              <w:t xml:space="preserve">Off</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CRITICAL: When ON, signals appear on all historical bars for backtesting. Must be turned OFF for live trading — with it on the strategy fires signals on every past bar on each chart load.</w:t>
            </w:r>
          </w:p>
        </w:tc>
      </w:tr>
    </w:tbl>
    <w:p>
      <w:pPr>
        <w:spacing w:before="0" w:after="200"/>
      </w:pPr>
      <w:r>
        <w:t xml:space="preserve"/>
      </w:r>
    </w:p>
    <w:p>
      <w:pPr>
        <w:pStyle w:val="Heading2"/>
        <w:shd w:fill="1E3A5F" w:val="clear"/>
        <w:spacing w:before="360" w:after="160"/>
        <w:ind w:left="200" w:right="200"/>
      </w:pPr>
      <w:r>
        <w:rPr>
          <w:rFonts w:ascii="Arial" w:cs="Arial" w:eastAsia="Arial" w:hAnsi="Arial"/>
          <w:b/>
          <w:bCs/>
          <w:color w:val="FFFFFF"/>
          <w:sz w:val="28"/>
          <w:szCs w:val="28"/>
        </w:rPr>
        <w:t xml:space="preserve">4.6  Trading Days</w:t>
      </w:r>
    </w:p>
    <w:p>
      <w:pPr>
        <w:spacing w:before="0" w:after="80"/>
      </w:pPr>
      <w:r>
        <w:t xml:space="preserve"/>
      </w:r>
    </w:p>
    <w:p>
      <w:pPr>
        <w:spacing w:before="80" w:after="100"/>
        <w:ind w:left="0"/>
      </w:pPr>
      <w:r>
        <w:rPr>
          <w:rFonts w:ascii="Arial" w:cs="Arial" w:eastAsia="Arial" w:hAnsi="Arial"/>
          <w:color w:val="444444"/>
          <w:sz w:val="22"/>
          <w:szCs w:val="22"/>
        </w:rPr>
        <w:t xml:space="preserve">Toggle each weekday on or off. When a day is disabled the bot will not enter any new trades on that day. Useful for avoiding high-risk news days (e.g. FOMC Wednesdays, NFP Fridays) or days you personally prefer not to trade.</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1800"/>
        <w:gridCol w:w="4360"/>
      </w:tblGrid>
      <w:tr>
        <w:tc>
          <w:tcPr>
            <w:tcW w:type="dxa" w:w="320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Setting</w:t>
            </w:r>
          </w:p>
        </w:tc>
        <w:tc>
          <w:tcPr>
            <w:tcW w:type="dxa" w:w="180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Default</w:t>
            </w:r>
          </w:p>
        </w:tc>
        <w:tc>
          <w:tcPr>
            <w:tcW w:type="dxa" w:w="436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What it does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Monday</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Data shows Monday has produced negative P&amp;L in backtesting. Consider disabling.</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Tuesday</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val="false"/>
                <w:bCs w:val="false"/>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Strong performance day — 92.3% win rate in backtesting. Keep enabled.</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Wednesday</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Often volatile around US market open. Backtest shows negative P&amp;L. Consider disabling.</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Thursday</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val="false"/>
                <w:bCs w:val="false"/>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Solid performer at 92.0% win rate. Keep enabled.</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Friday</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Best performing day — 95.7% win rate and $12,510 P&amp;L in one year. Keep enabled.</w:t>
            </w:r>
          </w:p>
        </w:tc>
      </w:tr>
    </w:tbl>
    <w:p>
      <w:pPr>
        <w:spacing w:before="0" w:after="200"/>
      </w:pPr>
      <w:r>
        <w:t xml:space="preserve"/>
      </w:r>
    </w:p>
    <w:p>
      <w:pPr>
        <w:pStyle w:val="Heading2"/>
        <w:shd w:fill="1E3A5F" w:val="clear"/>
        <w:spacing w:before="360" w:after="160"/>
        <w:ind w:left="200" w:right="200"/>
      </w:pPr>
      <w:r>
        <w:rPr>
          <w:rFonts w:ascii="Arial" w:cs="Arial" w:eastAsia="Arial" w:hAnsi="Arial"/>
          <w:b/>
          <w:bCs/>
          <w:color w:val="FFFFFF"/>
          <w:sz w:val="28"/>
          <w:szCs w:val="28"/>
        </w:rPr>
        <w:t xml:space="preserve">4.7  Trade History Table</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1800"/>
        <w:gridCol w:w="4360"/>
      </w:tblGrid>
      <w:tr>
        <w:tc>
          <w:tcPr>
            <w:tcW w:type="dxa" w:w="320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Setting</w:t>
            </w:r>
          </w:p>
        </w:tc>
        <w:tc>
          <w:tcPr>
            <w:tcW w:type="dxa" w:w="180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Default</w:t>
            </w:r>
          </w:p>
        </w:tc>
        <w:tc>
          <w:tcPr>
            <w:tcW w:type="dxa" w:w="436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What it does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Show Last 10 Trades Table</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Toggle the rolling trade history table on or off.</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Position (Last 10 Trades)</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val="false"/>
                <w:bCs w:val="false"/>
                <w:color w:val="2E75B6"/>
                <w:sz w:val="20"/>
                <w:szCs w:val="20"/>
              </w:rPr>
              <w:t xml:space="preserve">Bottom Right</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Nine snap positions available. Move to avoid overlap with price action.</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Text Size (Last 10 Trades)</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2E75B6"/>
                <w:sz w:val="20"/>
                <w:szCs w:val="20"/>
              </w:rPr>
              <w:t xml:space="preserve">Small</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Options: Tiny, Small, Normal, Large.</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Show Session/Week Summary Table</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val="false"/>
                <w:bCs w:val="false"/>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Toggle the session and weekly summary table on or off.</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Position (Summary Table)</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2E75B6"/>
                <w:sz w:val="20"/>
                <w:szCs w:val="20"/>
              </w:rPr>
              <w:t xml:space="preserve">Bottom Left</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Nine snap positions available.</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Text Size (Summary Table)</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val="false"/>
                <w:bCs w:val="false"/>
                <w:color w:val="2E75B6"/>
                <w:sz w:val="20"/>
                <w:szCs w:val="20"/>
              </w:rPr>
              <w:t xml:space="preserve">Small</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Options: Tiny, Small, Normal, Large.</w:t>
            </w:r>
          </w:p>
        </w:tc>
      </w:tr>
    </w:tbl>
    <w:p>
      <w:pPr>
        <w:spacing w:before="0" w:after="200"/>
      </w:pPr>
      <w:r>
        <w:t xml:space="preserve"/>
      </w:r>
    </w:p>
    <w:p>
      <w:pPr>
        <w:pStyle w:val="Heading2"/>
        <w:shd w:fill="1E3A5F" w:val="clear"/>
        <w:spacing w:before="360" w:after="160"/>
        <w:ind w:left="200" w:right="200"/>
      </w:pPr>
      <w:r>
        <w:rPr>
          <w:rFonts w:ascii="Arial" w:cs="Arial" w:eastAsia="Arial" w:hAnsi="Arial"/>
          <w:b/>
          <w:bCs/>
          <w:color w:val="FFFFFF"/>
          <w:sz w:val="28"/>
          <w:szCs w:val="28"/>
        </w:rPr>
        <w:t xml:space="preserve">4.8  Session Times</w:t>
      </w:r>
    </w:p>
    <w:p>
      <w:pPr>
        <w:spacing w:before="0" w:after="80"/>
      </w:pPr>
      <w:r>
        <w:t xml:space="preserve"/>
      </w:r>
    </w:p>
    <w:p>
      <w:pPr>
        <w:spacing w:before="80" w:after="100"/>
        <w:ind w:left="0"/>
      </w:pPr>
      <w:r>
        <w:rPr>
          <w:rFonts w:ascii="Arial" w:cs="Arial" w:eastAsia="Arial" w:hAnsi="Arial"/>
          <w:color w:val="444444"/>
          <w:sz w:val="22"/>
          <w:szCs w:val="22"/>
        </w:rPr>
        <w:t xml:space="preserve">All times are in your chart's timezone. Adjust these to match the hours your broker shows for the London and New York sessions based on your local timezone.</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1800"/>
        <w:gridCol w:w="4360"/>
      </w:tblGrid>
      <w:tr>
        <w:tc>
          <w:tcPr>
            <w:tcW w:type="dxa" w:w="320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Setting</w:t>
            </w:r>
          </w:p>
        </w:tc>
        <w:tc>
          <w:tcPr>
            <w:tcW w:type="dxa" w:w="180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Default</w:t>
            </w:r>
          </w:p>
        </w:tc>
        <w:tc>
          <w:tcPr>
            <w:tcW w:type="dxa" w:w="436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What it does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London Session Times</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2E75B6"/>
                <w:sz w:val="20"/>
                <w:szCs w:val="20"/>
              </w:rPr>
              <w:t xml:space="preserve">03:00 – 08:00</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The window during which London session signals are valid. Adjust for your timezone.</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New York Session Times</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val="false"/>
                <w:bCs w:val="false"/>
                <w:color w:val="2E75B6"/>
                <w:sz w:val="20"/>
                <w:szCs w:val="20"/>
              </w:rPr>
              <w:t xml:space="preserve">08:00 – 15:59</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The window during which New York session signals are valid.</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Flat Time (close all)</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2E75B6"/>
                <w:sz w:val="20"/>
                <w:szCs w:val="20"/>
              </w:rPr>
              <w:t xml:space="preserve">17:00 – 17:59</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All open trades are force-closed at the start time. Set to 30–60 minutes before your session end.</w:t>
            </w:r>
          </w:p>
        </w:tc>
      </w:tr>
    </w:tbl>
    <w:p>
      <w:pPr>
        <w:spacing w:before="0" w:after="200"/>
      </w:pPr>
      <w:r>
        <w:t xml:space="preserve"/>
      </w:r>
    </w:p>
    <w:p>
      <w:pPr>
        <w:pStyle w:val="Heading2"/>
        <w:shd w:fill="1E3A5F" w:val="clear"/>
        <w:spacing w:before="360" w:after="160"/>
        <w:ind w:left="200" w:right="200"/>
      </w:pPr>
      <w:r>
        <w:rPr>
          <w:rFonts w:ascii="Arial" w:cs="Arial" w:eastAsia="Arial" w:hAnsi="Arial"/>
          <w:b/>
          <w:bCs/>
          <w:color w:val="FFFFFF"/>
          <w:sz w:val="28"/>
          <w:szCs w:val="28"/>
        </w:rPr>
        <w:t xml:space="preserve">4.9  Blackout Windows</w:t>
      </w:r>
    </w:p>
    <w:p>
      <w:pPr>
        <w:spacing w:before="0" w:after="80"/>
      </w:pPr>
      <w:r>
        <w:t xml:space="preserve"/>
      </w:r>
    </w:p>
    <w:p>
      <w:pPr>
        <w:spacing w:before="80" w:after="100"/>
        <w:ind w:left="0"/>
      </w:pPr>
      <w:r>
        <w:rPr>
          <w:rFonts w:ascii="Arial" w:cs="Arial" w:eastAsia="Arial" w:hAnsi="Arial"/>
          <w:color w:val="444444"/>
          <w:sz w:val="22"/>
          <w:szCs w:val="22"/>
        </w:rPr>
        <w:t xml:space="preserve">Blackout windows completely block new entries during the specified time ranges. Use these to avoid high-impact news events, known volatile periods, or times you have observed poor performance.</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1800"/>
        <w:gridCol w:w="4360"/>
      </w:tblGrid>
      <w:tr>
        <w:tc>
          <w:tcPr>
            <w:tcW w:type="dxa" w:w="320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Setting</w:t>
            </w:r>
          </w:p>
        </w:tc>
        <w:tc>
          <w:tcPr>
            <w:tcW w:type="dxa" w:w="180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Default</w:t>
            </w:r>
          </w:p>
        </w:tc>
        <w:tc>
          <w:tcPr>
            <w:tcW w:type="dxa" w:w="436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What it does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Enable Blackout 1–4</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2E75B6"/>
                <w:sz w:val="20"/>
                <w:szCs w:val="20"/>
              </w:rPr>
              <w:t xml:space="preserve">All Off</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Toggle each blackout window independently.</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Blackout 1 Times</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val="false"/>
                <w:bCs w:val="false"/>
                <w:color w:val="2E75B6"/>
                <w:sz w:val="20"/>
                <w:szCs w:val="20"/>
              </w:rPr>
              <w:t xml:space="preserve">07:59 – 10:00</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Example: covers the first hour of the US market open, a period of often erratic price action.</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Blackout 2–4 Times</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2E75B6"/>
                <w:sz w:val="20"/>
                <w:szCs w:val="20"/>
              </w:rPr>
              <w:t xml:space="preserve">Off</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Additional windows — set to match your observations or news calendars.</w:t>
            </w:r>
          </w:p>
        </w:tc>
      </w:tr>
    </w:tbl>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E75B6" w:sz="1"/>
              <w:left w:val="single" w:color="2E75B6" w:sz="1"/>
              <w:bottom w:val="single" w:color="2E75B6" w:sz="1"/>
              <w:right w:val="single" w:color="2E75B6" w:sz="1"/>
            </w:tcBorders>
            <w:shd w:fill="EAF4FB" w:val="clear"/>
            <w:tcMar>
              <w:top w:type="dxa" w:w="140"/>
              <w:left w:type="dxa" w:w="200"/>
              <w:bottom w:type="dxa" w:w="140"/>
              <w:right w:type="dxa" w:w="200"/>
            </w:tcMar>
          </w:tcPr>
          <w:p>
            <w:pPr>
              <w:spacing w:after="60"/>
            </w:pPr>
            <w:r>
              <w:rPr>
                <w:rFonts w:ascii="Arial" w:cs="Arial" w:eastAsia="Arial" w:hAnsi="Arial"/>
                <w:b/>
                <w:bCs/>
                <w:color w:val="2E75B6"/>
                <w:sz w:val="22"/>
                <w:szCs w:val="22"/>
              </w:rPr>
              <w:t xml:space="preserve">Recommended blackout</w:t>
            </w:r>
          </w:p>
          <w:p>
            <w:pPr>
              <w:spacing w:after="0"/>
            </w:pPr>
            <w:r>
              <w:rPr>
                <w:rFonts w:ascii="Arial" w:cs="Arial" w:eastAsia="Arial" w:hAnsi="Arial"/>
                <w:color w:val="444444"/>
                <w:sz w:val="21"/>
                <w:szCs w:val="21"/>
              </w:rPr>
              <w:t xml:space="preserve">Based on backtest data, consider adding a blackout from 16:00 to your flat time. Trades entered in the final hour of the session frequently do not have enough time to reach take profit and end up being flat-closed at a loss.</w:t>
            </w:r>
          </w:p>
        </w:tc>
      </w:tr>
    </w:tbl>
    <w:p>
      <w:pPr>
        <w:spacing w:before="0" w:after="200"/>
      </w:pPr>
      <w:r>
        <w:t xml:space="preserve"/>
      </w:r>
    </w:p>
    <w:p>
      <w:r>
        <w:br w:type="page"/>
      </w:r>
    </w:p>
    <w:p>
      <w:pPr>
        <w:pStyle w:val="Heading1"/>
        <w:pBdr>
          <w:bottom w:val="single" w:color="2E75B6" w:sz="4" w:space="1"/>
        </w:pBdr>
        <w:shd w:fill="0D1F3C" w:val="clear"/>
        <w:spacing w:before="0" w:after="200"/>
        <w:ind w:left="280" w:right="280"/>
      </w:pPr>
      <w:r>
        <w:rPr>
          <w:rFonts w:ascii="Arial" w:cs="Arial" w:eastAsia="Arial" w:hAnsi="Arial"/>
          <w:b/>
          <w:bCs/>
          <w:color w:val="FFFFFF"/>
          <w:sz w:val="36"/>
          <w:szCs w:val="36"/>
        </w:rPr>
        <w:t xml:space="preserve">5.  Backtested Performance (Mar 2025 – Mar 2026)</w:t>
      </w:r>
    </w:p>
    <w:p>
      <w:pPr>
        <w:spacing w:before="0" w:after="100"/>
      </w:pPr>
      <w:r>
        <w:t xml:space="preserve"/>
      </w:r>
    </w:p>
    <w:p>
      <w:pPr>
        <w:spacing w:before="80" w:after="100"/>
        <w:ind w:left="0"/>
      </w:pPr>
      <w:r>
        <w:rPr>
          <w:rFonts w:ascii="Arial" w:cs="Arial" w:eastAsia="Arial" w:hAnsi="Arial"/>
          <w:color w:val="444444"/>
          <w:sz w:val="22"/>
          <w:szCs w:val="22"/>
        </w:rPr>
        <w:t xml:space="preserve">The following results were generated on CME Micro E-mini Nasdaq-100 Futures (MNQ1!) on a 5-minute chart using the settings shown in the optimum settings section. All figures are net of commissions at $0.50 per contract.</w:t>
      </w:r>
    </w:p>
    <w:p>
      <w:pPr>
        <w:spacing w:before="0" w:after="14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2E75B6" w:sz="1"/>
              <w:left w:val="single" w:color="2E75B6" w:sz="1"/>
              <w:bottom w:val="single" w:color="2E75B6" w:sz="1"/>
              <w:right w:val="single" w:color="2E75B6" w:sz="1"/>
            </w:tcBorders>
            <w:shd w:fill="0D1F3C" w:val="clear"/>
            <w:tcMar>
              <w:top w:type="dxa" w:w="100"/>
              <w:left w:type="dxa" w:w="160"/>
              <w:bottom w:type="dxa" w:w="100"/>
              <w:right w:type="dxa" w:w="160"/>
            </w:tcMar>
          </w:tcPr>
          <w:p>
            <w:pPr>
              <w:jc w:val="center"/>
            </w:pPr>
            <w:r>
              <w:rPr>
                <w:rFonts w:ascii="Arial" w:cs="Arial" w:eastAsia="Arial" w:hAnsi="Arial"/>
                <w:b/>
                <w:bCs/>
                <w:color w:val="FFFFFF"/>
                <w:sz w:val="22"/>
                <w:szCs w:val="22"/>
              </w:rPr>
              <w:t xml:space="preserve">Metric</w:t>
            </w:r>
          </w:p>
        </w:tc>
        <w:tc>
          <w:tcPr>
            <w:tcW w:type="dxa" w:w="3120"/>
            <w:tcBorders>
              <w:top w:val="single" w:color="2E75B6" w:sz="1"/>
              <w:left w:val="single" w:color="2E75B6" w:sz="1"/>
              <w:bottom w:val="single" w:color="2E75B6" w:sz="1"/>
              <w:right w:val="single" w:color="2E75B6" w:sz="1"/>
            </w:tcBorders>
            <w:shd w:fill="0D1F3C" w:val="clear"/>
            <w:tcMar>
              <w:top w:type="dxa" w:w="100"/>
              <w:left w:type="dxa" w:w="160"/>
              <w:bottom w:type="dxa" w:w="100"/>
              <w:right w:type="dxa" w:w="160"/>
            </w:tcMar>
          </w:tcPr>
          <w:p>
            <w:pPr>
              <w:jc w:val="center"/>
            </w:pPr>
            <w:r>
              <w:rPr>
                <w:rFonts w:ascii="Arial" w:cs="Arial" w:eastAsia="Arial" w:hAnsi="Arial"/>
                <w:b/>
                <w:bCs/>
                <w:color w:val="FFFFFF"/>
                <w:sz w:val="22"/>
                <w:szCs w:val="22"/>
              </w:rPr>
              <w:t xml:space="preserve">Value</w:t>
            </w:r>
          </w:p>
        </w:tc>
        <w:tc>
          <w:tcPr>
            <w:tcW w:type="dxa" w:w="3120"/>
            <w:tcBorders>
              <w:top w:val="single" w:color="2E75B6" w:sz="1"/>
              <w:left w:val="single" w:color="2E75B6" w:sz="1"/>
              <w:bottom w:val="single" w:color="2E75B6" w:sz="1"/>
              <w:right w:val="single" w:color="2E75B6" w:sz="1"/>
            </w:tcBorders>
            <w:shd w:fill="0D1F3C" w:val="clear"/>
            <w:tcMar>
              <w:top w:type="dxa" w:w="100"/>
              <w:left w:type="dxa" w:w="160"/>
              <w:bottom w:type="dxa" w:w="100"/>
              <w:right w:type="dxa" w:w="160"/>
            </w:tcMar>
          </w:tcPr>
          <w:p>
            <w:pPr>
              <w:jc w:val="center"/>
            </w:pPr>
            <w:r>
              <w:rPr>
                <w:rFonts w:ascii="Arial" w:cs="Arial" w:eastAsia="Arial" w:hAnsi="Arial"/>
                <w:b/>
                <w:bCs/>
                <w:color w:val="FFFFFF"/>
                <w:sz w:val="22"/>
                <w:szCs w:val="22"/>
              </w:rPr>
              <w:t xml:space="preserve">Notes</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bCs/>
                <w:color w:val="0D1F3C"/>
                <w:sz w:val="21"/>
                <w:szCs w:val="21"/>
              </w:rPr>
              <w:t xml:space="preserve">Total P&amp;L (1 yr)</w:t>
            </w:r>
          </w:p>
        </w:tc>
        <w:tc>
          <w:tcPr>
            <w:tcW w:type="dxa" w:w="3120"/>
            <w:tcBorders>
              <w:top w:val="single" w:color="CCCCCC" w:sz="1"/>
              <w:left w:val="single" w:color="CCCCCC" w:sz="1"/>
              <w:bottom w:val="single" w:color="CCCCCC" w:sz="1"/>
              <w:right w:val="single" w:color="CCCCCC" w:sz="1"/>
            </w:tcBorders>
            <w:shd w:fill="F5F5F5" w:val="clear"/>
            <w:tcMar>
              <w:top w:type="dxa" w:w="80"/>
              <w:left w:type="dxa" w:w="160"/>
              <w:bottom w:type="dxa" w:w="80"/>
              <w:right w:type="dxa" w:w="160"/>
            </w:tcMar>
          </w:tcPr>
          <w:p>
            <w:pPr>
              <w:jc w:val="center"/>
            </w:pPr>
            <w:r>
              <w:rPr>
                <w:rFonts w:ascii="Arial" w:cs="Arial" w:eastAsia="Arial" w:hAnsi="Arial"/>
                <w:b/>
                <w:bCs/>
                <w:color w:val="2E75B6"/>
                <w:sz w:val="21"/>
                <w:szCs w:val="21"/>
              </w:rPr>
              <w:t xml:space="preserve">+$13,503</w:t>
            </w:r>
          </w:p>
        </w:tc>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color w:val="444444"/>
                <w:sz w:val="20"/>
                <w:szCs w:val="20"/>
              </w:rPr>
              <w:t xml:space="preserve">Net of all commissions ($0.50/contract)</w:t>
            </w:r>
          </w:p>
        </w:tc>
      </w:tr>
      <w:tr>
        <w:tc>
          <w:tcPr>
            <w:tcW w:type="dxa" w:w="3120"/>
            <w:tcBorders>
              <w:top w:val="single" w:color="CCCCCC" w:sz="1"/>
              <w:left w:val="single" w:color="CCCCCC" w:sz="1"/>
              <w:bottom w:val="single" w:color="CCCCCC" w:sz="1"/>
              <w:right w:val="single" w:color="CCCCCC" w:sz="1"/>
            </w:tcBorders>
            <w:shd w:fill="EAF4FB" w:val="clear"/>
            <w:tcMar>
              <w:top w:type="dxa" w:w="80"/>
              <w:left w:type="dxa" w:w="160"/>
              <w:bottom w:type="dxa" w:w="80"/>
              <w:right w:type="dxa" w:w="160"/>
            </w:tcMar>
          </w:tcPr>
          <w:p>
            <w:r>
              <w:rPr>
                <w:rFonts w:ascii="Arial" w:cs="Arial" w:eastAsia="Arial" w:hAnsi="Arial"/>
                <w:b/>
                <w:bCs/>
                <w:color w:val="0D1F3C"/>
                <w:sz w:val="21"/>
                <w:szCs w:val="21"/>
              </w:rPr>
              <w:t xml:space="preserve">Total Trades</w:t>
            </w:r>
          </w:p>
        </w:tc>
        <w:tc>
          <w:tcPr>
            <w:tcW w:type="dxa" w:w="3120"/>
            <w:tcBorders>
              <w:top w:val="single" w:color="CCCCCC" w:sz="1"/>
              <w:left w:val="single" w:color="CCCCCC" w:sz="1"/>
              <w:bottom w:val="single" w:color="CCCCCC" w:sz="1"/>
              <w:right w:val="single" w:color="CCCCCC" w:sz="1"/>
            </w:tcBorders>
            <w:shd w:fill="EAF4FB" w:val="clear"/>
            <w:tcMar>
              <w:top w:type="dxa" w:w="80"/>
              <w:left w:type="dxa" w:w="160"/>
              <w:bottom w:type="dxa" w:w="80"/>
              <w:right w:type="dxa" w:w="160"/>
            </w:tcMar>
          </w:tcPr>
          <w:p>
            <w:pPr>
              <w:jc w:val="center"/>
            </w:pPr>
            <w:r>
              <w:rPr>
                <w:rFonts w:ascii="Arial" w:cs="Arial" w:eastAsia="Arial" w:hAnsi="Arial"/>
                <w:b/>
                <w:bCs/>
                <w:color w:val="2E75B6"/>
                <w:sz w:val="21"/>
                <w:szCs w:val="21"/>
              </w:rPr>
              <w:t xml:space="preserve">884</w:t>
            </w:r>
          </w:p>
        </w:tc>
        <w:tc>
          <w:tcPr>
            <w:tcW w:type="dxa" w:w="3120"/>
            <w:tcBorders>
              <w:top w:val="single" w:color="CCCCCC" w:sz="1"/>
              <w:left w:val="single" w:color="CCCCCC" w:sz="1"/>
              <w:bottom w:val="single" w:color="CCCCCC" w:sz="1"/>
              <w:right w:val="single" w:color="CCCCCC" w:sz="1"/>
            </w:tcBorders>
            <w:shd w:fill="EAF4FB" w:val="clear"/>
            <w:tcMar>
              <w:top w:type="dxa" w:w="80"/>
              <w:left w:type="dxa" w:w="160"/>
              <w:bottom w:type="dxa" w:w="80"/>
              <w:right w:type="dxa" w:w="160"/>
            </w:tcMar>
          </w:tcPr>
          <w:p>
            <w:r>
              <w:rPr>
                <w:rFonts w:ascii="Arial" w:cs="Arial" w:eastAsia="Arial" w:hAnsi="Arial"/>
                <w:color w:val="444444"/>
                <w:sz w:val="20"/>
                <w:szCs w:val="20"/>
              </w:rPr>
              <w:t xml:space="preserve">Mar 2025 – Mar 2026</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bCs/>
                <w:color w:val="0D1F3C"/>
                <w:sz w:val="21"/>
                <w:szCs w:val="21"/>
              </w:rPr>
              <w:t xml:space="preserve">Win Rate</w:t>
            </w:r>
          </w:p>
        </w:tc>
        <w:tc>
          <w:tcPr>
            <w:tcW w:type="dxa" w:w="3120"/>
            <w:tcBorders>
              <w:top w:val="single" w:color="CCCCCC" w:sz="1"/>
              <w:left w:val="single" w:color="CCCCCC" w:sz="1"/>
              <w:bottom w:val="single" w:color="CCCCCC" w:sz="1"/>
              <w:right w:val="single" w:color="CCCCCC" w:sz="1"/>
            </w:tcBorders>
            <w:shd w:fill="F5F5F5" w:val="clear"/>
            <w:tcMar>
              <w:top w:type="dxa" w:w="80"/>
              <w:left w:type="dxa" w:w="160"/>
              <w:bottom w:type="dxa" w:w="80"/>
              <w:right w:type="dxa" w:w="160"/>
            </w:tcMar>
          </w:tcPr>
          <w:p>
            <w:pPr>
              <w:jc w:val="center"/>
            </w:pPr>
            <w:r>
              <w:rPr>
                <w:rFonts w:ascii="Arial" w:cs="Arial" w:eastAsia="Arial" w:hAnsi="Arial"/>
                <w:b/>
                <w:bCs/>
                <w:color w:val="2E75B6"/>
                <w:sz w:val="21"/>
                <w:szCs w:val="21"/>
              </w:rPr>
              <w:t xml:space="preserve">90.3%</w:t>
            </w:r>
          </w:p>
        </w:tc>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color w:val="444444"/>
                <w:sz w:val="20"/>
                <w:szCs w:val="20"/>
              </w:rPr>
              <w:t xml:space="preserve">798 winners from 884 trades</w:t>
            </w:r>
          </w:p>
        </w:tc>
      </w:tr>
      <w:tr>
        <w:tc>
          <w:tcPr>
            <w:tcW w:type="dxa" w:w="3120"/>
            <w:tcBorders>
              <w:top w:val="single" w:color="CCCCCC" w:sz="1"/>
              <w:left w:val="single" w:color="CCCCCC" w:sz="1"/>
              <w:bottom w:val="single" w:color="CCCCCC" w:sz="1"/>
              <w:right w:val="single" w:color="CCCCCC" w:sz="1"/>
            </w:tcBorders>
            <w:shd w:fill="EAF4FB" w:val="clear"/>
            <w:tcMar>
              <w:top w:type="dxa" w:w="80"/>
              <w:left w:type="dxa" w:w="160"/>
              <w:bottom w:type="dxa" w:w="80"/>
              <w:right w:type="dxa" w:w="160"/>
            </w:tcMar>
          </w:tcPr>
          <w:p>
            <w:r>
              <w:rPr>
                <w:rFonts w:ascii="Arial" w:cs="Arial" w:eastAsia="Arial" w:hAnsi="Arial"/>
                <w:b/>
                <w:bCs/>
                <w:color w:val="0D1F3C"/>
                <w:sz w:val="21"/>
                <w:szCs w:val="21"/>
              </w:rPr>
              <w:t xml:space="preserve">Profit Factor</w:t>
            </w:r>
          </w:p>
        </w:tc>
        <w:tc>
          <w:tcPr>
            <w:tcW w:type="dxa" w:w="3120"/>
            <w:tcBorders>
              <w:top w:val="single" w:color="CCCCCC" w:sz="1"/>
              <w:left w:val="single" w:color="CCCCCC" w:sz="1"/>
              <w:bottom w:val="single" w:color="CCCCCC" w:sz="1"/>
              <w:right w:val="single" w:color="CCCCCC" w:sz="1"/>
            </w:tcBorders>
            <w:shd w:fill="EAF4FB" w:val="clear"/>
            <w:tcMar>
              <w:top w:type="dxa" w:w="80"/>
              <w:left w:type="dxa" w:w="160"/>
              <w:bottom w:type="dxa" w:w="80"/>
              <w:right w:type="dxa" w:w="160"/>
            </w:tcMar>
          </w:tcPr>
          <w:p>
            <w:pPr>
              <w:jc w:val="center"/>
            </w:pPr>
            <w:r>
              <w:rPr>
                <w:rFonts w:ascii="Arial" w:cs="Arial" w:eastAsia="Arial" w:hAnsi="Arial"/>
                <w:b/>
                <w:bCs/>
                <w:color w:val="2E75B6"/>
                <w:sz w:val="21"/>
                <w:szCs w:val="21"/>
              </w:rPr>
              <w:t xml:space="preserve">1.173</w:t>
            </w:r>
          </w:p>
        </w:tc>
        <w:tc>
          <w:tcPr>
            <w:tcW w:type="dxa" w:w="3120"/>
            <w:tcBorders>
              <w:top w:val="single" w:color="CCCCCC" w:sz="1"/>
              <w:left w:val="single" w:color="CCCCCC" w:sz="1"/>
              <w:bottom w:val="single" w:color="CCCCCC" w:sz="1"/>
              <w:right w:val="single" w:color="CCCCCC" w:sz="1"/>
            </w:tcBorders>
            <w:shd w:fill="EAF4FB" w:val="clear"/>
            <w:tcMar>
              <w:top w:type="dxa" w:w="80"/>
              <w:left w:type="dxa" w:w="160"/>
              <w:bottom w:type="dxa" w:w="80"/>
              <w:right w:type="dxa" w:w="160"/>
            </w:tcMar>
          </w:tcPr>
          <w:p>
            <w:r>
              <w:rPr>
                <w:rFonts w:ascii="Arial" w:cs="Arial" w:eastAsia="Arial" w:hAnsi="Arial"/>
                <w:color w:val="444444"/>
                <w:sz w:val="20"/>
                <w:szCs w:val="20"/>
              </w:rPr>
              <w:t xml:space="preserve">Gross profit ÷ gross loss</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bCs/>
                <w:color w:val="0D1F3C"/>
                <w:sz w:val="21"/>
                <w:szCs w:val="21"/>
              </w:rPr>
              <w:t xml:space="preserve">Avg Winning Trade</w:t>
            </w:r>
          </w:p>
        </w:tc>
        <w:tc>
          <w:tcPr>
            <w:tcW w:type="dxa" w:w="3120"/>
            <w:tcBorders>
              <w:top w:val="single" w:color="CCCCCC" w:sz="1"/>
              <w:left w:val="single" w:color="CCCCCC" w:sz="1"/>
              <w:bottom w:val="single" w:color="CCCCCC" w:sz="1"/>
              <w:right w:val="single" w:color="CCCCCC" w:sz="1"/>
            </w:tcBorders>
            <w:shd w:fill="F5F5F5" w:val="clear"/>
            <w:tcMar>
              <w:top w:type="dxa" w:w="80"/>
              <w:left w:type="dxa" w:w="160"/>
              <w:bottom w:type="dxa" w:w="80"/>
              <w:right w:type="dxa" w:w="160"/>
            </w:tcMar>
          </w:tcPr>
          <w:p>
            <w:pPr>
              <w:jc w:val="center"/>
            </w:pPr>
            <w:r>
              <w:rPr>
                <w:rFonts w:ascii="Arial" w:cs="Arial" w:eastAsia="Arial" w:hAnsi="Arial"/>
                <w:b/>
                <w:bCs/>
                <w:color w:val="2E75B6"/>
                <w:sz w:val="21"/>
                <w:szCs w:val="21"/>
              </w:rPr>
              <w:t xml:space="preserve">+$114.56</w:t>
            </w:r>
          </w:p>
        </w:tc>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color w:val="444444"/>
                <w:sz w:val="20"/>
                <w:szCs w:val="20"/>
              </w:rPr>
              <w:t xml:space="preserve">Fast exits — avg 12.8 mins</w:t>
            </w:r>
          </w:p>
        </w:tc>
      </w:tr>
      <w:tr>
        <w:tc>
          <w:tcPr>
            <w:tcW w:type="dxa" w:w="3120"/>
            <w:tcBorders>
              <w:top w:val="single" w:color="CCCCCC" w:sz="1"/>
              <w:left w:val="single" w:color="CCCCCC" w:sz="1"/>
              <w:bottom w:val="single" w:color="CCCCCC" w:sz="1"/>
              <w:right w:val="single" w:color="CCCCCC" w:sz="1"/>
            </w:tcBorders>
            <w:shd w:fill="EAF4FB" w:val="clear"/>
            <w:tcMar>
              <w:top w:type="dxa" w:w="80"/>
              <w:left w:type="dxa" w:w="160"/>
              <w:bottom w:type="dxa" w:w="80"/>
              <w:right w:type="dxa" w:w="160"/>
            </w:tcMar>
          </w:tcPr>
          <w:p>
            <w:r>
              <w:rPr>
                <w:rFonts w:ascii="Arial" w:cs="Arial" w:eastAsia="Arial" w:hAnsi="Arial"/>
                <w:b/>
                <w:bCs/>
                <w:color w:val="0D1F3C"/>
                <w:sz w:val="21"/>
                <w:szCs w:val="21"/>
              </w:rPr>
              <w:t xml:space="preserve">Avg Losing Trade</w:t>
            </w:r>
          </w:p>
        </w:tc>
        <w:tc>
          <w:tcPr>
            <w:tcW w:type="dxa" w:w="3120"/>
            <w:tcBorders>
              <w:top w:val="single" w:color="CCCCCC" w:sz="1"/>
              <w:left w:val="single" w:color="CCCCCC" w:sz="1"/>
              <w:bottom w:val="single" w:color="CCCCCC" w:sz="1"/>
              <w:right w:val="single" w:color="CCCCCC" w:sz="1"/>
            </w:tcBorders>
            <w:shd w:fill="EAF4FB" w:val="clear"/>
            <w:tcMar>
              <w:top w:type="dxa" w:w="80"/>
              <w:left w:type="dxa" w:w="160"/>
              <w:bottom w:type="dxa" w:w="80"/>
              <w:right w:type="dxa" w:w="160"/>
            </w:tcMar>
          </w:tcPr>
          <w:p>
            <w:pPr>
              <w:jc w:val="center"/>
            </w:pPr>
            <w:r>
              <w:rPr>
                <w:rFonts w:ascii="Arial" w:cs="Arial" w:eastAsia="Arial" w:hAnsi="Arial"/>
                <w:b/>
                <w:bCs/>
                <w:color w:val="2E75B6"/>
                <w:sz w:val="21"/>
                <w:szCs w:val="21"/>
              </w:rPr>
              <w:t xml:space="preserve">-$906.03</w:t>
            </w:r>
          </w:p>
        </w:tc>
        <w:tc>
          <w:tcPr>
            <w:tcW w:type="dxa" w:w="3120"/>
            <w:tcBorders>
              <w:top w:val="single" w:color="CCCCCC" w:sz="1"/>
              <w:left w:val="single" w:color="CCCCCC" w:sz="1"/>
              <w:bottom w:val="single" w:color="CCCCCC" w:sz="1"/>
              <w:right w:val="single" w:color="CCCCCC" w:sz="1"/>
            </w:tcBorders>
            <w:shd w:fill="EAF4FB" w:val="clear"/>
            <w:tcMar>
              <w:top w:type="dxa" w:w="80"/>
              <w:left w:type="dxa" w:w="160"/>
              <w:bottom w:type="dxa" w:w="80"/>
              <w:right w:type="dxa" w:w="160"/>
            </w:tcMar>
          </w:tcPr>
          <w:p>
            <w:r>
              <w:rPr>
                <w:rFonts w:ascii="Arial" w:cs="Arial" w:eastAsia="Arial" w:hAnsi="Arial"/>
                <w:color w:val="444444"/>
                <w:sz w:val="20"/>
                <w:szCs w:val="20"/>
              </w:rPr>
              <w:t xml:space="preserve">Key area to manage with tight SL</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bCs/>
                <w:color w:val="0D1F3C"/>
                <w:sz w:val="21"/>
                <w:szCs w:val="21"/>
              </w:rPr>
              <w:t xml:space="preserve">Max Consec. Wins</w:t>
            </w:r>
          </w:p>
        </w:tc>
        <w:tc>
          <w:tcPr>
            <w:tcW w:type="dxa" w:w="3120"/>
            <w:tcBorders>
              <w:top w:val="single" w:color="CCCCCC" w:sz="1"/>
              <w:left w:val="single" w:color="CCCCCC" w:sz="1"/>
              <w:bottom w:val="single" w:color="CCCCCC" w:sz="1"/>
              <w:right w:val="single" w:color="CCCCCC" w:sz="1"/>
            </w:tcBorders>
            <w:shd w:fill="F5F5F5" w:val="clear"/>
            <w:tcMar>
              <w:top w:type="dxa" w:w="80"/>
              <w:left w:type="dxa" w:w="160"/>
              <w:bottom w:type="dxa" w:w="80"/>
              <w:right w:type="dxa" w:w="160"/>
            </w:tcMar>
          </w:tcPr>
          <w:p>
            <w:pPr>
              <w:jc w:val="center"/>
            </w:pPr>
            <w:r>
              <w:rPr>
                <w:rFonts w:ascii="Arial" w:cs="Arial" w:eastAsia="Arial" w:hAnsi="Arial"/>
                <w:b/>
                <w:bCs/>
                <w:color w:val="2E75B6"/>
                <w:sz w:val="21"/>
                <w:szCs w:val="21"/>
              </w:rPr>
              <w:t xml:space="preserve">49</w:t>
            </w:r>
          </w:p>
        </w:tc>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color w:val="444444"/>
                <w:sz w:val="20"/>
                <w:szCs w:val="20"/>
              </w:rPr>
              <w:t xml:space="preserve">Outstanding streak consistency</w:t>
            </w:r>
          </w:p>
        </w:tc>
      </w:tr>
      <w:tr>
        <w:tc>
          <w:tcPr>
            <w:tcW w:type="dxa" w:w="3120"/>
            <w:tcBorders>
              <w:top w:val="single" w:color="CCCCCC" w:sz="1"/>
              <w:left w:val="single" w:color="CCCCCC" w:sz="1"/>
              <w:bottom w:val="single" w:color="CCCCCC" w:sz="1"/>
              <w:right w:val="single" w:color="CCCCCC" w:sz="1"/>
            </w:tcBorders>
            <w:shd w:fill="EAF4FB" w:val="clear"/>
            <w:tcMar>
              <w:top w:type="dxa" w:w="80"/>
              <w:left w:type="dxa" w:w="160"/>
              <w:bottom w:type="dxa" w:w="80"/>
              <w:right w:type="dxa" w:w="160"/>
            </w:tcMar>
          </w:tcPr>
          <w:p>
            <w:r>
              <w:rPr>
                <w:rFonts w:ascii="Arial" w:cs="Arial" w:eastAsia="Arial" w:hAnsi="Arial"/>
                <w:b/>
                <w:bCs/>
                <w:color w:val="0D1F3C"/>
                <w:sz w:val="21"/>
                <w:szCs w:val="21"/>
              </w:rPr>
              <w:t xml:space="preserve">Max Consec. Losses</w:t>
            </w:r>
          </w:p>
        </w:tc>
        <w:tc>
          <w:tcPr>
            <w:tcW w:type="dxa" w:w="3120"/>
            <w:tcBorders>
              <w:top w:val="single" w:color="CCCCCC" w:sz="1"/>
              <w:left w:val="single" w:color="CCCCCC" w:sz="1"/>
              <w:bottom w:val="single" w:color="CCCCCC" w:sz="1"/>
              <w:right w:val="single" w:color="CCCCCC" w:sz="1"/>
            </w:tcBorders>
            <w:shd w:fill="EAF4FB" w:val="clear"/>
            <w:tcMar>
              <w:top w:type="dxa" w:w="80"/>
              <w:left w:type="dxa" w:w="160"/>
              <w:bottom w:type="dxa" w:w="80"/>
              <w:right w:type="dxa" w:w="160"/>
            </w:tcMar>
          </w:tcPr>
          <w:p>
            <w:pPr>
              <w:jc w:val="center"/>
            </w:pPr>
            <w:r>
              <w:rPr>
                <w:rFonts w:ascii="Arial" w:cs="Arial" w:eastAsia="Arial" w:hAnsi="Arial"/>
                <w:b/>
                <w:bCs/>
                <w:color w:val="2E75B6"/>
                <w:sz w:val="21"/>
                <w:szCs w:val="21"/>
              </w:rPr>
              <w:t xml:space="preserve">2</w:t>
            </w:r>
          </w:p>
        </w:tc>
        <w:tc>
          <w:tcPr>
            <w:tcW w:type="dxa" w:w="3120"/>
            <w:tcBorders>
              <w:top w:val="single" w:color="CCCCCC" w:sz="1"/>
              <w:left w:val="single" w:color="CCCCCC" w:sz="1"/>
              <w:bottom w:val="single" w:color="CCCCCC" w:sz="1"/>
              <w:right w:val="single" w:color="CCCCCC" w:sz="1"/>
            </w:tcBorders>
            <w:shd w:fill="EAF4FB" w:val="clear"/>
            <w:tcMar>
              <w:top w:type="dxa" w:w="80"/>
              <w:left w:type="dxa" w:w="160"/>
              <w:bottom w:type="dxa" w:w="80"/>
              <w:right w:type="dxa" w:w="160"/>
            </w:tcMar>
          </w:tcPr>
          <w:p>
            <w:r>
              <w:rPr>
                <w:rFonts w:ascii="Arial" w:cs="Arial" w:eastAsia="Arial" w:hAnsi="Arial"/>
                <w:color w:val="444444"/>
                <w:sz w:val="20"/>
                <w:szCs w:val="20"/>
              </w:rPr>
              <w:t xml:space="preserve">Exceptional drawdown control</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bCs/>
                <w:color w:val="0D1F3C"/>
                <w:sz w:val="21"/>
                <w:szCs w:val="21"/>
              </w:rPr>
              <w:t xml:space="preserve">Max Drawdown</w:t>
            </w:r>
          </w:p>
        </w:tc>
        <w:tc>
          <w:tcPr>
            <w:tcW w:type="dxa" w:w="3120"/>
            <w:tcBorders>
              <w:top w:val="single" w:color="CCCCCC" w:sz="1"/>
              <w:left w:val="single" w:color="CCCCCC" w:sz="1"/>
              <w:bottom w:val="single" w:color="CCCCCC" w:sz="1"/>
              <w:right w:val="single" w:color="CCCCCC" w:sz="1"/>
            </w:tcBorders>
            <w:shd w:fill="F5F5F5" w:val="clear"/>
            <w:tcMar>
              <w:top w:type="dxa" w:w="80"/>
              <w:left w:type="dxa" w:w="160"/>
              <w:bottom w:type="dxa" w:w="80"/>
              <w:right w:type="dxa" w:w="160"/>
            </w:tcMar>
          </w:tcPr>
          <w:p>
            <w:pPr>
              <w:jc w:val="center"/>
            </w:pPr>
            <w:r>
              <w:rPr>
                <w:rFonts w:ascii="Arial" w:cs="Arial" w:eastAsia="Arial" w:hAnsi="Arial"/>
                <w:b/>
                <w:bCs/>
                <w:color w:val="2E75B6"/>
                <w:sz w:val="21"/>
                <w:szCs w:val="21"/>
              </w:rPr>
              <w:t xml:space="preserve">$5,568 (0.55%)</w:t>
            </w:r>
          </w:p>
        </w:tc>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color w:val="444444"/>
                <w:sz w:val="20"/>
                <w:szCs w:val="20"/>
              </w:rPr>
              <w:t xml:space="preserve">Remarkably low for 884 trades</w:t>
            </w:r>
          </w:p>
        </w:tc>
      </w:tr>
    </w:tbl>
    <w:p>
      <w:pPr>
        <w:spacing w:before="0" w:after="20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Performance by Day of Week</w:t>
      </w:r>
    </w:p>
    <w:p>
      <w:pPr>
        <w:spacing w:before="80" w:after="100"/>
        <w:ind w:left="0"/>
      </w:pPr>
      <w:r>
        <w:rPr>
          <w:rFonts w:ascii="Arial" w:cs="Arial" w:eastAsia="Arial" w:hAnsi="Arial"/>
          <w:color w:val="444444"/>
          <w:sz w:val="22"/>
          <w:szCs w:val="22"/>
        </w:rPr>
        <w:t xml:space="preserve">Tuesday, Thursday and Friday are the standout days. Monday and Wednesday produced losses over the 12-month backtest period.</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72"/>
        <w:gridCol w:w="1872"/>
        <w:gridCol w:w="1872"/>
        <w:gridCol w:w="1872"/>
        <w:gridCol w:w="1872"/>
      </w:tblGrid>
      <w:tr>
        <w:tc>
          <w:tcPr>
            <w:tcW w:type="dxa" w:w="1872"/>
            <w:tcBorders>
              <w:top w:val="single" w:color="2E75B6" w:sz="1"/>
              <w:left w:val="single" w:color="2E75B6" w:sz="1"/>
              <w:bottom w:val="single" w:color="2E75B6" w:sz="1"/>
              <w:right w:val="single" w:color="2E75B6" w:sz="1"/>
            </w:tcBorders>
            <w:shd w:fill="0D1F3C" w:val="clear"/>
            <w:tcMar>
              <w:top w:type="dxa" w:w="80"/>
              <w:left w:type="dxa" w:w="100"/>
              <w:bottom w:type="dxa" w:w="80"/>
              <w:right w:type="dxa" w:w="100"/>
            </w:tcMar>
          </w:tcPr>
          <w:p>
            <w:pPr>
              <w:jc w:val="center"/>
            </w:pPr>
            <w:r>
              <w:rPr>
                <w:rFonts w:ascii="Arial" w:cs="Arial" w:eastAsia="Arial" w:hAnsi="Arial"/>
                <w:b/>
                <w:bCs/>
                <w:color w:val="FFFFFF"/>
                <w:sz w:val="20"/>
                <w:szCs w:val="20"/>
              </w:rPr>
              <w:t xml:space="preserve">Monday</w:t>
            </w:r>
          </w:p>
        </w:tc>
        <w:tc>
          <w:tcPr>
            <w:tcW w:type="dxa" w:w="1872"/>
            <w:tcBorders>
              <w:top w:val="single" w:color="2E75B6" w:sz="1"/>
              <w:left w:val="single" w:color="2E75B6" w:sz="1"/>
              <w:bottom w:val="single" w:color="2E75B6" w:sz="1"/>
              <w:right w:val="single" w:color="2E75B6" w:sz="1"/>
            </w:tcBorders>
            <w:shd w:fill="0D1F3C" w:val="clear"/>
            <w:tcMar>
              <w:top w:type="dxa" w:w="80"/>
              <w:left w:type="dxa" w:w="100"/>
              <w:bottom w:type="dxa" w:w="80"/>
              <w:right w:type="dxa" w:w="100"/>
            </w:tcMar>
          </w:tcPr>
          <w:p>
            <w:pPr>
              <w:jc w:val="center"/>
            </w:pPr>
            <w:r>
              <w:rPr>
                <w:rFonts w:ascii="Arial" w:cs="Arial" w:eastAsia="Arial" w:hAnsi="Arial"/>
                <w:b/>
                <w:bCs/>
                <w:color w:val="FFFFFF"/>
                <w:sz w:val="20"/>
                <w:szCs w:val="20"/>
              </w:rPr>
              <w:t xml:space="preserve">Tuesday</w:t>
            </w:r>
          </w:p>
        </w:tc>
        <w:tc>
          <w:tcPr>
            <w:tcW w:type="dxa" w:w="1872"/>
            <w:tcBorders>
              <w:top w:val="single" w:color="2E75B6" w:sz="1"/>
              <w:left w:val="single" w:color="2E75B6" w:sz="1"/>
              <w:bottom w:val="single" w:color="2E75B6" w:sz="1"/>
              <w:right w:val="single" w:color="2E75B6" w:sz="1"/>
            </w:tcBorders>
            <w:shd w:fill="0D1F3C" w:val="clear"/>
            <w:tcMar>
              <w:top w:type="dxa" w:w="80"/>
              <w:left w:type="dxa" w:w="100"/>
              <w:bottom w:type="dxa" w:w="80"/>
              <w:right w:type="dxa" w:w="100"/>
            </w:tcMar>
          </w:tcPr>
          <w:p>
            <w:pPr>
              <w:jc w:val="center"/>
            </w:pPr>
            <w:r>
              <w:rPr>
                <w:rFonts w:ascii="Arial" w:cs="Arial" w:eastAsia="Arial" w:hAnsi="Arial"/>
                <w:b/>
                <w:bCs/>
                <w:color w:val="FFFFFF"/>
                <w:sz w:val="20"/>
                <w:szCs w:val="20"/>
              </w:rPr>
              <w:t xml:space="preserve">Wednesday</w:t>
            </w:r>
          </w:p>
        </w:tc>
        <w:tc>
          <w:tcPr>
            <w:tcW w:type="dxa" w:w="1872"/>
            <w:tcBorders>
              <w:top w:val="single" w:color="2E75B6" w:sz="1"/>
              <w:left w:val="single" w:color="2E75B6" w:sz="1"/>
              <w:bottom w:val="single" w:color="2E75B6" w:sz="1"/>
              <w:right w:val="single" w:color="2E75B6" w:sz="1"/>
            </w:tcBorders>
            <w:shd w:fill="0D1F3C" w:val="clear"/>
            <w:tcMar>
              <w:top w:type="dxa" w:w="80"/>
              <w:left w:type="dxa" w:w="100"/>
              <w:bottom w:type="dxa" w:w="80"/>
              <w:right w:type="dxa" w:w="100"/>
            </w:tcMar>
          </w:tcPr>
          <w:p>
            <w:pPr>
              <w:jc w:val="center"/>
            </w:pPr>
            <w:r>
              <w:rPr>
                <w:rFonts w:ascii="Arial" w:cs="Arial" w:eastAsia="Arial" w:hAnsi="Arial"/>
                <w:b/>
                <w:bCs/>
                <w:color w:val="FFFFFF"/>
                <w:sz w:val="20"/>
                <w:szCs w:val="20"/>
              </w:rPr>
              <w:t xml:space="preserve">Thursday</w:t>
            </w:r>
          </w:p>
        </w:tc>
        <w:tc>
          <w:tcPr>
            <w:tcW w:type="dxa" w:w="1872"/>
            <w:tcBorders>
              <w:top w:val="single" w:color="2E75B6" w:sz="1"/>
              <w:left w:val="single" w:color="2E75B6" w:sz="1"/>
              <w:bottom w:val="single" w:color="2E75B6" w:sz="1"/>
              <w:right w:val="single" w:color="2E75B6" w:sz="1"/>
            </w:tcBorders>
            <w:shd w:fill="0D1F3C" w:val="clear"/>
            <w:tcMar>
              <w:top w:type="dxa" w:w="80"/>
              <w:left w:type="dxa" w:w="100"/>
              <w:bottom w:type="dxa" w:w="80"/>
              <w:right w:type="dxa" w:w="100"/>
            </w:tcMar>
          </w:tcPr>
          <w:p>
            <w:pPr>
              <w:jc w:val="center"/>
            </w:pPr>
            <w:r>
              <w:rPr>
                <w:rFonts w:ascii="Arial" w:cs="Arial" w:eastAsia="Arial" w:hAnsi="Arial"/>
                <w:b/>
                <w:bCs/>
                <w:color w:val="FFFFFF"/>
                <w:sz w:val="20"/>
                <w:szCs w:val="20"/>
              </w:rPr>
              <w:t xml:space="preserve">Friday</w:t>
            </w:r>
          </w:p>
        </w:tc>
      </w:tr>
      <w:tr>
        <w:tc>
          <w:tcPr>
            <w:tcW w:type="dxa" w:w="1872"/>
            <w:tcBorders>
              <w:top w:val="single" w:color="CCCCCC" w:sz="1"/>
              <w:left w:val="single" w:color="CCCCCC" w:sz="1"/>
              <w:bottom w:val="single" w:color="CCCCCC" w:sz="1"/>
              <w:right w:val="single" w:color="CCCCCC" w:sz="1"/>
            </w:tcBorders>
            <w:shd w:fill="FCE8E8" w:val="clear"/>
            <w:tcMar>
              <w:top w:type="dxa" w:w="100"/>
              <w:left w:type="dxa" w:w="100"/>
              <w:bottom w:type="dxa" w:w="100"/>
              <w:right w:type="dxa" w:w="100"/>
            </w:tcMar>
          </w:tcPr>
          <w:p>
            <w:pPr>
              <w:jc w:val="center"/>
            </w:pPr>
            <w:r>
              <w:rPr>
                <w:rFonts w:ascii="Arial" w:cs="Arial" w:eastAsia="Arial" w:hAnsi="Arial"/>
                <w:b/>
                <w:bCs/>
                <w:color w:val="A32D2D"/>
                <w:sz w:val="22"/>
                <w:szCs w:val="22"/>
              </w:rPr>
              <w:t xml:space="preserve">84.7%</w:t>
            </w:r>
          </w:p>
          <w:p>
            <w:pPr>
              <w:jc w:val="center"/>
            </w:pPr>
            <w:r>
              <w:rPr>
                <w:rFonts w:ascii="Arial" w:cs="Arial" w:eastAsia="Arial" w:hAnsi="Arial"/>
                <w:color w:val="444444"/>
                <w:sz w:val="20"/>
                <w:szCs w:val="20"/>
              </w:rPr>
              <w:t xml:space="preserve">-$6,063</w:t>
            </w:r>
          </w:p>
        </w:tc>
        <w:tc>
          <w:tcPr>
            <w:tcW w:type="dxa" w:w="1872"/>
            <w:tcBorders>
              <w:top w:val="single" w:color="CCCCCC" w:sz="1"/>
              <w:left w:val="single" w:color="CCCCCC" w:sz="1"/>
              <w:bottom w:val="single" w:color="CCCCCC" w:sz="1"/>
              <w:right w:val="single" w:color="CCCCCC" w:sz="1"/>
            </w:tcBorders>
            <w:shd w:fill="E2F0E8" w:val="clear"/>
            <w:tcMar>
              <w:top w:type="dxa" w:w="100"/>
              <w:left w:type="dxa" w:w="100"/>
              <w:bottom w:type="dxa" w:w="100"/>
              <w:right w:type="dxa" w:w="100"/>
            </w:tcMar>
          </w:tcPr>
          <w:p>
            <w:pPr>
              <w:jc w:val="center"/>
            </w:pPr>
            <w:r>
              <w:rPr>
                <w:rFonts w:ascii="Arial" w:cs="Arial" w:eastAsia="Arial" w:hAnsi="Arial"/>
                <w:b/>
                <w:bCs/>
                <w:color w:val="1D6B3E"/>
                <w:sz w:val="22"/>
                <w:szCs w:val="22"/>
              </w:rPr>
              <w:t xml:space="preserve">92.3%</w:t>
            </w:r>
          </w:p>
          <w:p>
            <w:pPr>
              <w:jc w:val="center"/>
            </w:pPr>
            <w:r>
              <w:rPr>
                <w:rFonts w:ascii="Arial" w:cs="Arial" w:eastAsia="Arial" w:hAnsi="Arial"/>
                <w:color w:val="444444"/>
                <w:sz w:val="20"/>
                <w:szCs w:val="20"/>
              </w:rPr>
              <w:t xml:space="preserve">+$7,971</w:t>
            </w:r>
          </w:p>
        </w:tc>
        <w:tc>
          <w:tcPr>
            <w:tcW w:type="dxa" w:w="1872"/>
            <w:tcBorders>
              <w:top w:val="single" w:color="CCCCCC" w:sz="1"/>
              <w:left w:val="single" w:color="CCCCCC" w:sz="1"/>
              <w:bottom w:val="single" w:color="CCCCCC" w:sz="1"/>
              <w:right w:val="single" w:color="CCCCCC" w:sz="1"/>
            </w:tcBorders>
            <w:shd w:fill="FCE8E8" w:val="clear"/>
            <w:tcMar>
              <w:top w:type="dxa" w:w="100"/>
              <w:left w:type="dxa" w:w="100"/>
              <w:bottom w:type="dxa" w:w="100"/>
              <w:right w:type="dxa" w:w="100"/>
            </w:tcMar>
          </w:tcPr>
          <w:p>
            <w:pPr>
              <w:jc w:val="center"/>
            </w:pPr>
            <w:r>
              <w:rPr>
                <w:rFonts w:ascii="Arial" w:cs="Arial" w:eastAsia="Arial" w:hAnsi="Arial"/>
                <w:b/>
                <w:bCs/>
                <w:color w:val="A32D2D"/>
                <w:sz w:val="22"/>
                <w:szCs w:val="22"/>
              </w:rPr>
              <w:t xml:space="preserve">87.3%</w:t>
            </w:r>
          </w:p>
          <w:p>
            <w:pPr>
              <w:jc w:val="center"/>
            </w:pPr>
            <w:r>
              <w:rPr>
                <w:rFonts w:ascii="Arial" w:cs="Arial" w:eastAsia="Arial" w:hAnsi="Arial"/>
                <w:color w:val="444444"/>
                <w:sz w:val="20"/>
                <w:szCs w:val="20"/>
              </w:rPr>
              <w:t xml:space="preserve">-$4,392</w:t>
            </w:r>
          </w:p>
        </w:tc>
        <w:tc>
          <w:tcPr>
            <w:tcW w:type="dxa" w:w="1872"/>
            <w:tcBorders>
              <w:top w:val="single" w:color="CCCCCC" w:sz="1"/>
              <w:left w:val="single" w:color="CCCCCC" w:sz="1"/>
              <w:bottom w:val="single" w:color="CCCCCC" w:sz="1"/>
              <w:right w:val="single" w:color="CCCCCC" w:sz="1"/>
            </w:tcBorders>
            <w:shd w:fill="E2F0E8" w:val="clear"/>
            <w:tcMar>
              <w:top w:type="dxa" w:w="100"/>
              <w:left w:type="dxa" w:w="100"/>
              <w:bottom w:type="dxa" w:w="100"/>
              <w:right w:type="dxa" w:w="100"/>
            </w:tcMar>
          </w:tcPr>
          <w:p>
            <w:pPr>
              <w:jc w:val="center"/>
            </w:pPr>
            <w:r>
              <w:rPr>
                <w:rFonts w:ascii="Arial" w:cs="Arial" w:eastAsia="Arial" w:hAnsi="Arial"/>
                <w:b/>
                <w:bCs/>
                <w:color w:val="1D6B3E"/>
                <w:sz w:val="22"/>
                <w:szCs w:val="22"/>
              </w:rPr>
              <w:t xml:space="preserve">92.0%</w:t>
            </w:r>
          </w:p>
          <w:p>
            <w:pPr>
              <w:jc w:val="center"/>
            </w:pPr>
            <w:r>
              <w:rPr>
                <w:rFonts w:ascii="Arial" w:cs="Arial" w:eastAsia="Arial" w:hAnsi="Arial"/>
                <w:color w:val="444444"/>
                <w:sz w:val="20"/>
                <w:szCs w:val="20"/>
              </w:rPr>
              <w:t xml:space="preserve">+$5,547</w:t>
            </w:r>
          </w:p>
        </w:tc>
        <w:tc>
          <w:tcPr>
            <w:tcW w:type="dxa" w:w="1872"/>
            <w:tcBorders>
              <w:top w:val="single" w:color="CCCCCC" w:sz="1"/>
              <w:left w:val="single" w:color="CCCCCC" w:sz="1"/>
              <w:bottom w:val="single" w:color="CCCCCC" w:sz="1"/>
              <w:right w:val="single" w:color="CCCCCC" w:sz="1"/>
            </w:tcBorders>
            <w:shd w:fill="E2F0E8" w:val="clear"/>
            <w:tcMar>
              <w:top w:type="dxa" w:w="100"/>
              <w:left w:type="dxa" w:w="100"/>
              <w:bottom w:type="dxa" w:w="100"/>
              <w:right w:type="dxa" w:w="100"/>
            </w:tcMar>
          </w:tcPr>
          <w:p>
            <w:pPr>
              <w:jc w:val="center"/>
            </w:pPr>
            <w:r>
              <w:rPr>
                <w:rFonts w:ascii="Arial" w:cs="Arial" w:eastAsia="Arial" w:hAnsi="Arial"/>
                <w:b/>
                <w:bCs/>
                <w:color w:val="1D6B3E"/>
                <w:sz w:val="22"/>
                <w:szCs w:val="22"/>
              </w:rPr>
              <w:t xml:space="preserve">95.7%</w:t>
            </w:r>
          </w:p>
          <w:p>
            <w:pPr>
              <w:jc w:val="center"/>
            </w:pPr>
            <w:r>
              <w:rPr>
                <w:rFonts w:ascii="Arial" w:cs="Arial" w:eastAsia="Arial" w:hAnsi="Arial"/>
                <w:color w:val="444444"/>
                <w:sz w:val="20"/>
                <w:szCs w:val="20"/>
              </w:rPr>
              <w:t xml:space="preserve">+$12,510</w:t>
            </w:r>
          </w:p>
        </w:tc>
      </w:tr>
    </w:tbl>
    <w:p>
      <w:pPr>
        <w:spacing w:before="0" w:after="20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Best Trading Hours</w:t>
      </w:r>
    </w:p>
    <w:p>
      <w:pPr>
        <w:spacing w:before="80" w:after="100"/>
        <w:ind w:left="0"/>
      </w:pPr>
      <w:r>
        <w:rPr>
          <w:rFonts w:ascii="Arial" w:cs="Arial" w:eastAsia="Arial" w:hAnsi="Arial"/>
          <w:color w:val="444444"/>
          <w:sz w:val="22"/>
          <w:szCs w:val="22"/>
        </w:rPr>
        <w:t xml:space="preserve">The 04:00 – 08:00 window (early London) shows the highest win rate at 94–97% and the best P&amp;L per trade. The 09:00 hour has the highest volume but lowest P&amp;L — high activity with marginal returns.</w:t>
      </w:r>
    </w:p>
    <w:p>
      <w:pPr>
        <w:spacing w:before="0" w:after="200"/>
      </w:pPr>
      <w:r>
        <w:t xml:space="preserve"/>
      </w:r>
    </w:p>
    <w:p>
      <w:r>
        <w:br w:type="page"/>
      </w:r>
    </w:p>
    <w:p>
      <w:pPr>
        <w:pStyle w:val="Heading1"/>
        <w:pBdr>
          <w:bottom w:val="single" w:color="2E75B6" w:sz="4" w:space="1"/>
        </w:pBdr>
        <w:shd w:fill="0D1F3C" w:val="clear"/>
        <w:spacing w:before="0" w:after="200"/>
        <w:ind w:left="280" w:right="280"/>
      </w:pPr>
      <w:r>
        <w:rPr>
          <w:rFonts w:ascii="Arial" w:cs="Arial" w:eastAsia="Arial" w:hAnsi="Arial"/>
          <w:b/>
          <w:bCs/>
          <w:color w:val="FFFFFF"/>
          <w:sz w:val="36"/>
          <w:szCs w:val="36"/>
        </w:rPr>
        <w:t xml:space="preserve">6.  Optimum Settings — Start Here</w:t>
      </w:r>
    </w:p>
    <w:p>
      <w:pPr>
        <w:spacing w:before="0" w:after="100"/>
      </w:pPr>
      <w:r>
        <w:t xml:space="preserve"/>
      </w:r>
    </w:p>
    <w:p>
      <w:pPr>
        <w:spacing w:before="80" w:after="100"/>
        <w:ind w:left="0"/>
      </w:pPr>
      <w:r>
        <w:rPr>
          <w:rFonts w:ascii="Arial" w:cs="Arial" w:eastAsia="Arial" w:hAnsi="Arial"/>
          <w:color w:val="444444"/>
          <w:sz w:val="22"/>
          <w:szCs w:val="22"/>
        </w:rPr>
        <w:t xml:space="preserve">These settings are derived from 12 months of backtesting on MNQ1! futures and represent the best starting configuration. Highlighted rows are the most impactful settings to get right.</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E75B6" w:sz="1"/>
              <w:left w:val="single" w:color="2E75B6" w:sz="1"/>
              <w:bottom w:val="single" w:color="2E75B6" w:sz="1"/>
              <w:right w:val="single" w:color="2E75B6" w:sz="1"/>
            </w:tcBorders>
            <w:shd w:fill="EAF4FB" w:val="clear"/>
            <w:tcMar>
              <w:top w:type="dxa" w:w="140"/>
              <w:left w:type="dxa" w:w="200"/>
              <w:bottom w:type="dxa" w:w="140"/>
              <w:right w:type="dxa" w:w="200"/>
            </w:tcMar>
          </w:tcPr>
          <w:p>
            <w:pPr>
              <w:spacing w:after="60"/>
            </w:pPr>
            <w:r>
              <w:rPr>
                <w:rFonts w:ascii="Arial" w:cs="Arial" w:eastAsia="Arial" w:hAnsi="Arial"/>
                <w:b/>
                <w:bCs/>
                <w:color w:val="2E75B6"/>
                <w:sz w:val="22"/>
                <w:szCs w:val="22"/>
              </w:rPr>
              <w:t xml:space="preserve">Important</w:t>
            </w:r>
          </w:p>
          <w:p>
            <w:pPr>
              <w:spacing w:after="0"/>
            </w:pPr>
            <w:r>
              <w:rPr>
                <w:rFonts w:ascii="Arial" w:cs="Arial" w:eastAsia="Arial" w:hAnsi="Arial"/>
                <w:color w:val="444444"/>
                <w:sz w:val="21"/>
                <w:szCs w:val="21"/>
              </w:rPr>
              <w:t xml:space="preserve">These settings are a starting point, not a guarantee. Always paper trade for at least two weeks before going live. Adjust the daily and weekly P&amp;L limits to match your own account size and risk tolerance.</w:t>
            </w:r>
          </w:p>
        </w:tc>
      </w:tr>
    </w:tbl>
    <w:p>
      <w:pPr>
        <w:spacing w:before="0" w:after="14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Key Levels — Leave all enabled</w:t>
      </w:r>
    </w:p>
    <w:p>
      <w:pPr>
        <w:spacing w:before="80" w:after="100"/>
        <w:ind w:left="0"/>
      </w:pPr>
      <w:r>
        <w:rPr>
          <w:rFonts w:ascii="Arial" w:cs="Arial" w:eastAsia="Arial" w:hAnsi="Arial"/>
          <w:color w:val="444444"/>
          <w:sz w:val="22"/>
          <w:szCs w:val="22"/>
        </w:rPr>
        <w:t xml:space="preserve">All six levels provide valuable reference points. Disabling any of them reduces the number of valid entry opportunities.</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1800"/>
        <w:gridCol w:w="4560"/>
      </w:tblGrid>
      <w:tr>
        <w:tc>
          <w:tcPr>
            <w:tcW w:type="dxa" w:w="300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Setting</w:t>
            </w:r>
          </w:p>
        </w:tc>
        <w:tc>
          <w:tcPr>
            <w:tcW w:type="dxa" w:w="180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Optimum value</w:t>
            </w:r>
          </w:p>
        </w:tc>
        <w:tc>
          <w:tcPr>
            <w:tcW w:type="dxa" w:w="456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color w:val="FFFFFF"/>
                <w:sz w:val="20"/>
                <w:szCs w:val="20"/>
              </w:rPr>
              <w:t xml:space="preserve">Why</w:t>
            </w:r>
          </w:p>
        </w:tc>
      </w:tr>
      <w:tr>
        <w:tc>
          <w:tcPr>
            <w:tcW w:type="dxa" w:w="3000"/>
            <w:tcBorders>
              <w:top w:val="single" w:color="CCCCCC" w:sz="1"/>
              <w:left w:val="single" w:color="CCCCCC" w:sz="1"/>
              <w:bottom w:val="single" w:color="CCCCCC" w:sz="1"/>
              <w:right w:val="single" w:color="CCCCCC" w:sz="1"/>
            </w:tcBorders>
            <w:shd w:fill="E2F0E8" w:val="clear"/>
            <w:tcMar>
              <w:top w:type="dxa" w:w="80"/>
              <w:left w:type="dxa" w:w="120"/>
              <w:bottom w:type="dxa" w:w="80"/>
              <w:right w:type="dxa" w:w="120"/>
            </w:tcMar>
          </w:tcPr>
          <w:p>
            <w:r>
              <w:rPr>
                <w:rFonts w:ascii="Arial" w:cs="Arial" w:eastAsia="Arial" w:hAnsi="Arial"/>
                <w:b w:val="false"/>
                <w:bCs w:val="false"/>
                <w:color w:val="0D1F3C"/>
                <w:sz w:val="20"/>
                <w:szCs w:val="20"/>
              </w:rPr>
              <w:t xml:space="preserve">All key levels (PDH, PDL, PWH, PWL, PMH, PML)</w:t>
            </w:r>
          </w:p>
        </w:tc>
        <w:tc>
          <w:tcPr>
            <w:tcW w:type="dxa" w:w="1800"/>
            <w:tcBorders>
              <w:top w:val="single" w:color="CCCCCC" w:sz="1"/>
              <w:left w:val="single" w:color="CCCCCC" w:sz="1"/>
              <w:bottom w:val="single" w:color="CCCCCC" w:sz="1"/>
              <w:right w:val="single" w:color="CCCCCC" w:sz="1"/>
            </w:tcBorders>
            <w:shd w:fill="E2F0E8" w:val="clear"/>
            <w:tcMar>
              <w:top w:type="dxa" w:w="80"/>
              <w:left w:type="dxa" w:w="120"/>
              <w:bottom w:type="dxa" w:w="80"/>
              <w:right w:type="dxa" w:w="120"/>
            </w:tcMar>
          </w:tcPr>
          <w:p>
            <w:r>
              <w:rPr>
                <w:rFonts w:ascii="Arial" w:cs="Arial" w:eastAsia="Arial" w:hAnsi="Arial"/>
                <w:b/>
                <w:bCs/>
                <w:color w:val="1D6B3E"/>
                <w:sz w:val="20"/>
                <w:szCs w:val="20"/>
              </w:rPr>
              <w:t xml:space="preserve">All ON</w:t>
            </w:r>
          </w:p>
        </w:tc>
        <w:tc>
          <w:tcPr>
            <w:tcW w:type="dxa" w:w="4560"/>
            <w:tcBorders>
              <w:top w:val="single" w:color="CCCCCC" w:sz="1"/>
              <w:left w:val="single" w:color="CCCCCC" w:sz="1"/>
              <w:bottom w:val="single" w:color="CCCCCC" w:sz="1"/>
              <w:right w:val="single" w:color="CCCCCC" w:sz="1"/>
            </w:tcBorders>
            <w:shd w:fill="E2F0E8" w:val="clear"/>
            <w:tcMar>
              <w:top w:type="dxa" w:w="80"/>
              <w:left w:type="dxa" w:w="120"/>
              <w:bottom w:type="dxa" w:w="80"/>
              <w:right w:type="dxa" w:w="120"/>
            </w:tcMar>
          </w:tcPr>
          <w:p>
            <w:r>
              <w:rPr>
                <w:rFonts w:ascii="Arial" w:cs="Arial" w:eastAsia="Arial" w:hAnsi="Arial"/>
                <w:color w:val="1D6B3E"/>
                <w:sz w:val="20"/>
                <w:szCs w:val="20"/>
              </w:rPr>
              <w:t xml:space="preserve">Each level provides unique opportunities. Disabling reduces entries.</w:t>
            </w:r>
          </w:p>
        </w:tc>
      </w:tr>
    </w:tbl>
    <w:p>
      <w:pPr>
        <w:spacing w:before="0" w:after="20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Signal Types</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1800"/>
        <w:gridCol w:w="4560"/>
      </w:tblGrid>
      <w:tr>
        <w:tc>
          <w:tcPr>
            <w:tcW w:type="dxa" w:w="300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Setting</w:t>
            </w:r>
          </w:p>
        </w:tc>
        <w:tc>
          <w:tcPr>
            <w:tcW w:type="dxa" w:w="180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Optimum value</w:t>
            </w:r>
          </w:p>
        </w:tc>
        <w:tc>
          <w:tcPr>
            <w:tcW w:type="dxa" w:w="456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color w:val="FFFFFF"/>
                <w:sz w:val="20"/>
                <w:szCs w:val="20"/>
              </w:rPr>
              <w:t xml:space="preserve">Why</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D1F3C"/>
                <w:sz w:val="20"/>
                <w:szCs w:val="20"/>
              </w:rPr>
              <w:t xml:space="preserve">Pin Bar Rejection</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2E75B6"/>
                <w:sz w:val="20"/>
                <w:szCs w:val="20"/>
              </w:rPr>
              <w:t xml:space="preserve">ON</w:t>
            </w:r>
          </w:p>
        </w:tc>
        <w:tc>
          <w:tcPr>
            <w:tcW w:type="dxa" w:w="4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Highly reliable at all key levels.</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D1F3C"/>
                <w:sz w:val="20"/>
                <w:szCs w:val="20"/>
              </w:rPr>
              <w:t xml:space="preserve">Bearish/Bullish Engulfing</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2E75B6"/>
                <w:sz w:val="20"/>
                <w:szCs w:val="20"/>
              </w:rPr>
              <w:t xml:space="preserve">ON</w:t>
            </w:r>
          </w:p>
        </w:tc>
        <w:tc>
          <w:tcPr>
            <w:tcW w:type="dxa" w:w="4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Strong signal when combined with level touch.</w:t>
            </w:r>
          </w:p>
        </w:tc>
      </w:tr>
      <w:tr>
        <w:tc>
          <w:tcPr>
            <w:tcW w:type="dxa" w:w="3000"/>
            <w:tcBorders>
              <w:top w:val="single" w:color="CCCCCC" w:sz="1"/>
              <w:left w:val="single" w:color="CCCCCC" w:sz="1"/>
              <w:bottom w:val="single" w:color="CCCCCC" w:sz="1"/>
              <w:right w:val="single" w:color="CCCCCC" w:sz="1"/>
            </w:tcBorders>
            <w:shd w:fill="E2F0E8" w:val="clear"/>
            <w:tcMar>
              <w:top w:type="dxa" w:w="80"/>
              <w:left w:type="dxa" w:w="120"/>
              <w:bottom w:type="dxa" w:w="80"/>
              <w:right w:type="dxa" w:w="120"/>
            </w:tcMar>
          </w:tcPr>
          <w:p>
            <w:r>
              <w:rPr>
                <w:rFonts w:ascii="Arial" w:cs="Arial" w:eastAsia="Arial" w:hAnsi="Arial"/>
                <w:b w:val="false"/>
                <w:bCs w:val="false"/>
                <w:color w:val="0D1F3C"/>
                <w:sz w:val="20"/>
                <w:szCs w:val="20"/>
              </w:rPr>
              <w:t xml:space="preserve">Engulfing Type</w:t>
            </w:r>
          </w:p>
        </w:tc>
        <w:tc>
          <w:tcPr>
            <w:tcW w:type="dxa" w:w="1800"/>
            <w:tcBorders>
              <w:top w:val="single" w:color="CCCCCC" w:sz="1"/>
              <w:left w:val="single" w:color="CCCCCC" w:sz="1"/>
              <w:bottom w:val="single" w:color="CCCCCC" w:sz="1"/>
              <w:right w:val="single" w:color="CCCCCC" w:sz="1"/>
            </w:tcBorders>
            <w:shd w:fill="E2F0E8" w:val="clear"/>
            <w:tcMar>
              <w:top w:type="dxa" w:w="80"/>
              <w:left w:type="dxa" w:w="120"/>
              <w:bottom w:type="dxa" w:w="80"/>
              <w:right w:type="dxa" w:w="120"/>
            </w:tcMar>
          </w:tcPr>
          <w:p>
            <w:r>
              <w:rPr>
                <w:rFonts w:ascii="Arial" w:cs="Arial" w:eastAsia="Arial" w:hAnsi="Arial"/>
                <w:b/>
                <w:bCs/>
                <w:color w:val="1D6B3E"/>
                <w:sz w:val="20"/>
                <w:szCs w:val="20"/>
              </w:rPr>
              <w:t xml:space="preserve">Strict</w:t>
            </w:r>
          </w:p>
        </w:tc>
        <w:tc>
          <w:tcPr>
            <w:tcW w:type="dxa" w:w="4560"/>
            <w:tcBorders>
              <w:top w:val="single" w:color="CCCCCC" w:sz="1"/>
              <w:left w:val="single" w:color="CCCCCC" w:sz="1"/>
              <w:bottom w:val="single" w:color="CCCCCC" w:sz="1"/>
              <w:right w:val="single" w:color="CCCCCC" w:sz="1"/>
            </w:tcBorders>
            <w:shd w:fill="E2F0E8" w:val="clear"/>
            <w:tcMar>
              <w:top w:type="dxa" w:w="80"/>
              <w:left w:type="dxa" w:w="120"/>
              <w:bottom w:type="dxa" w:w="80"/>
              <w:right w:type="dxa" w:w="120"/>
            </w:tcMar>
          </w:tcPr>
          <w:p>
            <w:r>
              <w:rPr>
                <w:rFonts w:ascii="Arial" w:cs="Arial" w:eastAsia="Arial" w:hAnsi="Arial"/>
                <w:color w:val="1D6B3E"/>
                <w:sz w:val="20"/>
                <w:szCs w:val="20"/>
              </w:rPr>
              <w:t xml:space="preserve">Strict reduces false entries in volatile NQ/MNQ conditions.</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D1F3C"/>
                <w:sz w:val="20"/>
                <w:szCs w:val="20"/>
              </w:rPr>
              <w:t xml:space="preserve">3-Candle Reversal</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2E75B6"/>
                <w:sz w:val="20"/>
                <w:szCs w:val="20"/>
              </w:rPr>
              <w:t xml:space="preserve">ON</w:t>
            </w:r>
          </w:p>
        </w:tc>
        <w:tc>
          <w:tcPr>
            <w:tcW w:type="dxa" w:w="4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Works well at weekly and monthly levels.</w:t>
            </w:r>
          </w:p>
        </w:tc>
      </w:tr>
      <w:tr>
        <w:tc>
          <w:tcPr>
            <w:tcW w:type="dxa" w:w="3000"/>
            <w:tcBorders>
              <w:top w:val="single" w:color="CCCCCC" w:sz="1"/>
              <w:left w:val="single" w:color="CCCCCC" w:sz="1"/>
              <w:bottom w:val="single" w:color="CCCCCC" w:sz="1"/>
              <w:right w:val="single" w:color="CCCCCC" w:sz="1"/>
            </w:tcBorders>
            <w:shd w:fill="E2F0E8" w:val="clear"/>
            <w:tcMar>
              <w:top w:type="dxa" w:w="80"/>
              <w:left w:type="dxa" w:w="120"/>
              <w:bottom w:type="dxa" w:w="80"/>
              <w:right w:type="dxa" w:w="120"/>
            </w:tcMar>
          </w:tcPr>
          <w:p>
            <w:r>
              <w:rPr>
                <w:rFonts w:ascii="Arial" w:cs="Arial" w:eastAsia="Arial" w:hAnsi="Arial"/>
                <w:b w:val="false"/>
                <w:bCs w:val="false"/>
                <w:color w:val="0D1F3C"/>
                <w:sz w:val="20"/>
                <w:szCs w:val="20"/>
              </w:rPr>
              <w:t xml:space="preserve">Liquidity Sweep + Return</w:t>
            </w:r>
          </w:p>
        </w:tc>
        <w:tc>
          <w:tcPr>
            <w:tcW w:type="dxa" w:w="1800"/>
            <w:tcBorders>
              <w:top w:val="single" w:color="CCCCCC" w:sz="1"/>
              <w:left w:val="single" w:color="CCCCCC" w:sz="1"/>
              <w:bottom w:val="single" w:color="CCCCCC" w:sz="1"/>
              <w:right w:val="single" w:color="CCCCCC" w:sz="1"/>
            </w:tcBorders>
            <w:shd w:fill="E2F0E8" w:val="clear"/>
            <w:tcMar>
              <w:top w:type="dxa" w:w="80"/>
              <w:left w:type="dxa" w:w="120"/>
              <w:bottom w:type="dxa" w:w="80"/>
              <w:right w:type="dxa" w:w="120"/>
            </w:tcMar>
          </w:tcPr>
          <w:p>
            <w:r>
              <w:rPr>
                <w:rFonts w:ascii="Arial" w:cs="Arial" w:eastAsia="Arial" w:hAnsi="Arial"/>
                <w:b/>
                <w:bCs/>
                <w:color w:val="1D6B3E"/>
                <w:sz w:val="20"/>
                <w:szCs w:val="20"/>
              </w:rPr>
              <w:t xml:space="preserve">ON</w:t>
            </w:r>
          </w:p>
        </w:tc>
        <w:tc>
          <w:tcPr>
            <w:tcW w:type="dxa" w:w="4560"/>
            <w:tcBorders>
              <w:top w:val="single" w:color="CCCCCC" w:sz="1"/>
              <w:left w:val="single" w:color="CCCCCC" w:sz="1"/>
              <w:bottom w:val="single" w:color="CCCCCC" w:sz="1"/>
              <w:right w:val="single" w:color="CCCCCC" w:sz="1"/>
            </w:tcBorders>
            <w:shd w:fill="E2F0E8" w:val="clear"/>
            <w:tcMar>
              <w:top w:type="dxa" w:w="80"/>
              <w:left w:type="dxa" w:w="120"/>
              <w:bottom w:type="dxa" w:w="80"/>
              <w:right w:type="dxa" w:w="120"/>
            </w:tcMar>
          </w:tcPr>
          <w:p>
            <w:r>
              <w:rPr>
                <w:rFonts w:ascii="Arial" w:cs="Arial" w:eastAsia="Arial" w:hAnsi="Arial"/>
                <w:color w:val="1D6B3E"/>
                <w:sz w:val="20"/>
                <w:szCs w:val="20"/>
              </w:rPr>
              <w:t xml:space="preserve">Often the highest probability signal — never disable.</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D1F3C"/>
                <w:sz w:val="20"/>
                <w:szCs w:val="20"/>
              </w:rPr>
              <w:t xml:space="preserve">Morning/Evening Star</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2E75B6"/>
                <w:sz w:val="20"/>
                <w:szCs w:val="20"/>
              </w:rPr>
              <w:t xml:space="preserve">ON</w:t>
            </w:r>
          </w:p>
        </w:tc>
        <w:tc>
          <w:tcPr>
            <w:tcW w:type="dxa" w:w="4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Rarer but very accurate. Keep enabled.</w:t>
            </w:r>
          </w:p>
        </w:tc>
      </w:tr>
    </w:tbl>
    <w:p>
      <w:pPr>
        <w:spacing w:before="0" w:after="20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Risk Management — Most Critical Settings</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1800"/>
        <w:gridCol w:w="4560"/>
      </w:tblGrid>
      <w:tr>
        <w:tc>
          <w:tcPr>
            <w:tcW w:type="dxa" w:w="300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Setting</w:t>
            </w:r>
          </w:p>
        </w:tc>
        <w:tc>
          <w:tcPr>
            <w:tcW w:type="dxa" w:w="180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Optimum value</w:t>
            </w:r>
          </w:p>
        </w:tc>
        <w:tc>
          <w:tcPr>
            <w:tcW w:type="dxa" w:w="456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color w:val="FFFFFF"/>
                <w:sz w:val="20"/>
                <w:szCs w:val="20"/>
              </w:rPr>
              <w:t xml:space="preserve">Why</w:t>
            </w:r>
          </w:p>
        </w:tc>
      </w:tr>
      <w:tr>
        <w:tc>
          <w:tcPr>
            <w:tcW w:type="dxa" w:w="3000"/>
            <w:tcBorders>
              <w:top w:val="single" w:color="CCCCCC" w:sz="1"/>
              <w:left w:val="single" w:color="CCCCCC" w:sz="1"/>
              <w:bottom w:val="single" w:color="CCCCCC" w:sz="1"/>
              <w:right w:val="single" w:color="CCCCCC" w:sz="1"/>
            </w:tcBorders>
            <w:shd w:fill="E2F0E8" w:val="clear"/>
            <w:tcMar>
              <w:top w:type="dxa" w:w="80"/>
              <w:left w:type="dxa" w:w="120"/>
              <w:bottom w:type="dxa" w:w="80"/>
              <w:right w:type="dxa" w:w="120"/>
            </w:tcMar>
          </w:tcPr>
          <w:p>
            <w:r>
              <w:rPr>
                <w:rFonts w:ascii="Arial" w:cs="Arial" w:eastAsia="Arial" w:hAnsi="Arial"/>
                <w:b w:val="false"/>
                <w:bCs w:val="false"/>
                <w:color w:val="0D1F3C"/>
                <w:sz w:val="20"/>
                <w:szCs w:val="20"/>
              </w:rPr>
              <w:t xml:space="preserve">Stop Loss (Points)</w:t>
            </w:r>
          </w:p>
        </w:tc>
        <w:tc>
          <w:tcPr>
            <w:tcW w:type="dxa" w:w="1800"/>
            <w:tcBorders>
              <w:top w:val="single" w:color="CCCCCC" w:sz="1"/>
              <w:left w:val="single" w:color="CCCCCC" w:sz="1"/>
              <w:bottom w:val="single" w:color="CCCCCC" w:sz="1"/>
              <w:right w:val="single" w:color="CCCCCC" w:sz="1"/>
            </w:tcBorders>
            <w:shd w:fill="E2F0E8" w:val="clear"/>
            <w:tcMar>
              <w:top w:type="dxa" w:w="80"/>
              <w:left w:type="dxa" w:w="120"/>
              <w:bottom w:type="dxa" w:w="80"/>
              <w:right w:type="dxa" w:w="120"/>
            </w:tcMar>
          </w:tcPr>
          <w:p>
            <w:r>
              <w:rPr>
                <w:rFonts w:ascii="Arial" w:cs="Arial" w:eastAsia="Arial" w:hAnsi="Arial"/>
                <w:b/>
                <w:bCs/>
                <w:color w:val="1D6B3E"/>
                <w:sz w:val="20"/>
                <w:szCs w:val="20"/>
              </w:rPr>
              <w:t xml:space="preserve">40–50 pts</w:t>
            </w:r>
          </w:p>
        </w:tc>
        <w:tc>
          <w:tcPr>
            <w:tcW w:type="dxa" w:w="4560"/>
            <w:tcBorders>
              <w:top w:val="single" w:color="CCCCCC" w:sz="1"/>
              <w:left w:val="single" w:color="CCCCCC" w:sz="1"/>
              <w:bottom w:val="single" w:color="CCCCCC" w:sz="1"/>
              <w:right w:val="single" w:color="CCCCCC" w:sz="1"/>
            </w:tcBorders>
            <w:shd w:fill="E2F0E8" w:val="clear"/>
            <w:tcMar>
              <w:top w:type="dxa" w:w="80"/>
              <w:left w:type="dxa" w:w="120"/>
              <w:bottom w:type="dxa" w:w="80"/>
              <w:right w:type="dxa" w:w="120"/>
            </w:tcMar>
          </w:tcPr>
          <w:p>
            <w:r>
              <w:rPr>
                <w:rFonts w:ascii="Arial" w:cs="Arial" w:eastAsia="Arial" w:hAnsi="Arial"/>
                <w:color w:val="1D6B3E"/>
                <w:sz w:val="20"/>
                <w:szCs w:val="20"/>
              </w:rPr>
              <w:t xml:space="preserve">Tighter than default 80pts. At 80pts losses average -$906. At 40-50pts you cap loss at ~$400-500. Avg win closes in 12.8 mins so a tighter SL rarely catches a winner mid-move.</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D1F3C"/>
                <w:sz w:val="20"/>
                <w:szCs w:val="20"/>
              </w:rPr>
              <w:t xml:space="preserve">Take Profit (Points)</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2E75B6"/>
                <w:sz w:val="20"/>
                <w:szCs w:val="20"/>
              </w:rPr>
              <w:t xml:space="preserve">10 pts</w:t>
            </w:r>
          </w:p>
        </w:tc>
        <w:tc>
          <w:tcPr>
            <w:tcW w:type="dxa" w:w="4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Current setting captures consistent wins. Increase to 15–20 for fewer trades but larger wins.</w:t>
            </w:r>
          </w:p>
        </w:tc>
      </w:tr>
      <w:tr>
        <w:tc>
          <w:tcPr>
            <w:tcW w:type="dxa" w:w="3000"/>
            <w:tcBorders>
              <w:top w:val="single" w:color="CCCCCC" w:sz="1"/>
              <w:left w:val="single" w:color="CCCCCC" w:sz="1"/>
              <w:bottom w:val="single" w:color="CCCCCC" w:sz="1"/>
              <w:right w:val="single" w:color="CCCCCC" w:sz="1"/>
            </w:tcBorders>
            <w:shd w:fill="E2F0E8" w:val="clear"/>
            <w:tcMar>
              <w:top w:type="dxa" w:w="80"/>
              <w:left w:type="dxa" w:w="120"/>
              <w:bottom w:type="dxa" w:w="80"/>
              <w:right w:type="dxa" w:w="120"/>
            </w:tcMar>
          </w:tcPr>
          <w:p>
            <w:r>
              <w:rPr>
                <w:rFonts w:ascii="Arial" w:cs="Arial" w:eastAsia="Arial" w:hAnsi="Arial"/>
                <w:b w:val="false"/>
                <w:bCs w:val="false"/>
                <w:color w:val="0D1F3C"/>
                <w:sz w:val="20"/>
                <w:szCs w:val="20"/>
              </w:rPr>
              <w:t xml:space="preserve">Level Touch Zone (Points)</w:t>
            </w:r>
          </w:p>
        </w:tc>
        <w:tc>
          <w:tcPr>
            <w:tcW w:type="dxa" w:w="1800"/>
            <w:tcBorders>
              <w:top w:val="single" w:color="CCCCCC" w:sz="1"/>
              <w:left w:val="single" w:color="CCCCCC" w:sz="1"/>
              <w:bottom w:val="single" w:color="CCCCCC" w:sz="1"/>
              <w:right w:val="single" w:color="CCCCCC" w:sz="1"/>
            </w:tcBorders>
            <w:shd w:fill="E2F0E8" w:val="clear"/>
            <w:tcMar>
              <w:top w:type="dxa" w:w="80"/>
              <w:left w:type="dxa" w:w="120"/>
              <w:bottom w:type="dxa" w:w="80"/>
              <w:right w:type="dxa" w:w="120"/>
            </w:tcMar>
          </w:tcPr>
          <w:p>
            <w:r>
              <w:rPr>
                <w:rFonts w:ascii="Arial" w:cs="Arial" w:eastAsia="Arial" w:hAnsi="Arial"/>
                <w:b/>
                <w:bCs/>
                <w:color w:val="1D6B3E"/>
                <w:sz w:val="20"/>
                <w:szCs w:val="20"/>
              </w:rPr>
              <w:t xml:space="preserve">4 pts</w:t>
            </w:r>
          </w:p>
        </w:tc>
        <w:tc>
          <w:tcPr>
            <w:tcW w:type="dxa" w:w="4560"/>
            <w:tcBorders>
              <w:top w:val="single" w:color="CCCCCC" w:sz="1"/>
              <w:left w:val="single" w:color="CCCCCC" w:sz="1"/>
              <w:bottom w:val="single" w:color="CCCCCC" w:sz="1"/>
              <w:right w:val="single" w:color="CCCCCC" w:sz="1"/>
            </w:tcBorders>
            <w:shd w:fill="E2F0E8" w:val="clear"/>
            <w:tcMar>
              <w:top w:type="dxa" w:w="80"/>
              <w:left w:type="dxa" w:w="120"/>
              <w:bottom w:type="dxa" w:w="80"/>
              <w:right w:type="dxa" w:w="120"/>
            </w:tcMar>
          </w:tcPr>
          <w:p>
            <w:r>
              <w:rPr>
                <w:rFonts w:ascii="Arial" w:cs="Arial" w:eastAsia="Arial" w:hAnsi="Arial"/>
                <w:color w:val="1D6B3E"/>
                <w:sz w:val="20"/>
                <w:szCs w:val="20"/>
              </w:rPr>
              <w:t xml:space="preserve">Narrower zone = higher quality signals. Default of 8 is acceptable but 4 improves precision.</w:t>
            </w:r>
          </w:p>
        </w:tc>
      </w:tr>
    </w:tbl>
    <w:p>
      <w:pPr>
        <w:spacing w:before="0" w:after="20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Daily P&amp;L Limits</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1800"/>
        <w:gridCol w:w="4560"/>
      </w:tblGrid>
      <w:tr>
        <w:tc>
          <w:tcPr>
            <w:tcW w:type="dxa" w:w="300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Setting</w:t>
            </w:r>
          </w:p>
        </w:tc>
        <w:tc>
          <w:tcPr>
            <w:tcW w:type="dxa" w:w="180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Optimum value</w:t>
            </w:r>
          </w:p>
        </w:tc>
        <w:tc>
          <w:tcPr>
            <w:tcW w:type="dxa" w:w="456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color w:val="FFFFFF"/>
                <w:sz w:val="20"/>
                <w:szCs w:val="20"/>
              </w:rPr>
              <w:t xml:space="preserve">Why</w:t>
            </w:r>
          </w:p>
        </w:tc>
      </w:tr>
      <w:tr>
        <w:tc>
          <w:tcPr>
            <w:tcW w:type="dxa" w:w="3000"/>
            <w:tcBorders>
              <w:top w:val="single" w:color="CCCCCC" w:sz="1"/>
              <w:left w:val="single" w:color="CCCCCC" w:sz="1"/>
              <w:bottom w:val="single" w:color="CCCCCC" w:sz="1"/>
              <w:right w:val="single" w:color="CCCCCC" w:sz="1"/>
            </w:tcBorders>
            <w:shd w:fill="E2F0E8" w:val="clear"/>
            <w:tcMar>
              <w:top w:type="dxa" w:w="80"/>
              <w:left w:type="dxa" w:w="120"/>
              <w:bottom w:type="dxa" w:w="80"/>
              <w:right w:type="dxa" w:w="120"/>
            </w:tcMar>
          </w:tcPr>
          <w:p>
            <w:r>
              <w:rPr>
                <w:rFonts w:ascii="Arial" w:cs="Arial" w:eastAsia="Arial" w:hAnsi="Arial"/>
                <w:b w:val="false"/>
                <w:bCs w:val="false"/>
                <w:color w:val="0D1F3C"/>
                <w:sz w:val="20"/>
                <w:szCs w:val="20"/>
              </w:rPr>
              <w:t xml:space="preserve">Daily Profit Target ($)</w:t>
            </w:r>
          </w:p>
        </w:tc>
        <w:tc>
          <w:tcPr>
            <w:tcW w:type="dxa" w:w="1800"/>
            <w:tcBorders>
              <w:top w:val="single" w:color="CCCCCC" w:sz="1"/>
              <w:left w:val="single" w:color="CCCCCC" w:sz="1"/>
              <w:bottom w:val="single" w:color="CCCCCC" w:sz="1"/>
              <w:right w:val="single" w:color="CCCCCC" w:sz="1"/>
            </w:tcBorders>
            <w:shd w:fill="E2F0E8" w:val="clear"/>
            <w:tcMar>
              <w:top w:type="dxa" w:w="80"/>
              <w:left w:type="dxa" w:w="120"/>
              <w:bottom w:type="dxa" w:w="80"/>
              <w:right w:type="dxa" w:w="120"/>
            </w:tcMar>
          </w:tcPr>
          <w:p>
            <w:r>
              <w:rPr>
                <w:rFonts w:ascii="Arial" w:cs="Arial" w:eastAsia="Arial" w:hAnsi="Arial"/>
                <w:b/>
                <w:bCs/>
                <w:color w:val="1D6B3E"/>
                <w:sz w:val="20"/>
                <w:szCs w:val="20"/>
              </w:rPr>
              <w:t xml:space="preserve">$300–500</w:t>
            </w:r>
          </w:p>
        </w:tc>
        <w:tc>
          <w:tcPr>
            <w:tcW w:type="dxa" w:w="4560"/>
            <w:tcBorders>
              <w:top w:val="single" w:color="CCCCCC" w:sz="1"/>
              <w:left w:val="single" w:color="CCCCCC" w:sz="1"/>
              <w:bottom w:val="single" w:color="CCCCCC" w:sz="1"/>
              <w:right w:val="single" w:color="CCCCCC" w:sz="1"/>
            </w:tcBorders>
            <w:shd w:fill="E2F0E8" w:val="clear"/>
            <w:tcMar>
              <w:top w:type="dxa" w:w="80"/>
              <w:left w:type="dxa" w:w="120"/>
              <w:bottom w:type="dxa" w:w="80"/>
              <w:right w:type="dxa" w:w="120"/>
            </w:tcMar>
          </w:tcPr>
          <w:p>
            <w:r>
              <w:rPr>
                <w:rFonts w:ascii="Arial" w:cs="Arial" w:eastAsia="Arial" w:hAnsi="Arial"/>
                <w:color w:val="1D6B3E"/>
                <w:sz w:val="20"/>
                <w:szCs w:val="20"/>
              </w:rPr>
              <w:t xml:space="preserve">Set to 2–3x your average winning trade. At $114.56 avg win, $300 is a realistic daily target.</w:t>
            </w:r>
          </w:p>
        </w:tc>
      </w:tr>
      <w:tr>
        <w:tc>
          <w:tcPr>
            <w:tcW w:type="dxa" w:w="3000"/>
            <w:tcBorders>
              <w:top w:val="single" w:color="CCCCCC" w:sz="1"/>
              <w:left w:val="single" w:color="CCCCCC" w:sz="1"/>
              <w:bottom w:val="single" w:color="CCCCCC" w:sz="1"/>
              <w:right w:val="single" w:color="CCCCCC" w:sz="1"/>
            </w:tcBorders>
            <w:shd w:fill="E2F0E8" w:val="clear"/>
            <w:tcMar>
              <w:top w:type="dxa" w:w="80"/>
              <w:left w:type="dxa" w:w="120"/>
              <w:bottom w:type="dxa" w:w="80"/>
              <w:right w:type="dxa" w:w="120"/>
            </w:tcMar>
          </w:tcPr>
          <w:p>
            <w:r>
              <w:rPr>
                <w:rFonts w:ascii="Arial" w:cs="Arial" w:eastAsia="Arial" w:hAnsi="Arial"/>
                <w:b w:val="false"/>
                <w:bCs w:val="false"/>
                <w:color w:val="0D1F3C"/>
                <w:sz w:val="20"/>
                <w:szCs w:val="20"/>
              </w:rPr>
              <w:t xml:space="preserve">Daily Max Loss ($)</w:t>
            </w:r>
          </w:p>
        </w:tc>
        <w:tc>
          <w:tcPr>
            <w:tcW w:type="dxa" w:w="1800"/>
            <w:tcBorders>
              <w:top w:val="single" w:color="CCCCCC" w:sz="1"/>
              <w:left w:val="single" w:color="CCCCCC" w:sz="1"/>
              <w:bottom w:val="single" w:color="CCCCCC" w:sz="1"/>
              <w:right w:val="single" w:color="CCCCCC" w:sz="1"/>
            </w:tcBorders>
            <w:shd w:fill="E2F0E8" w:val="clear"/>
            <w:tcMar>
              <w:top w:type="dxa" w:w="80"/>
              <w:left w:type="dxa" w:w="120"/>
              <w:bottom w:type="dxa" w:w="80"/>
              <w:right w:type="dxa" w:w="120"/>
            </w:tcMar>
          </w:tcPr>
          <w:p>
            <w:r>
              <w:rPr>
                <w:rFonts w:ascii="Arial" w:cs="Arial" w:eastAsia="Arial" w:hAnsi="Arial"/>
                <w:b/>
                <w:bCs/>
                <w:color w:val="1D6B3E"/>
                <w:sz w:val="20"/>
                <w:szCs w:val="20"/>
              </w:rPr>
              <w:t xml:space="preserve">$400–600</w:t>
            </w:r>
          </w:p>
        </w:tc>
        <w:tc>
          <w:tcPr>
            <w:tcW w:type="dxa" w:w="4560"/>
            <w:tcBorders>
              <w:top w:val="single" w:color="CCCCCC" w:sz="1"/>
              <w:left w:val="single" w:color="CCCCCC" w:sz="1"/>
              <w:bottom w:val="single" w:color="CCCCCC" w:sz="1"/>
              <w:right w:val="single" w:color="CCCCCC" w:sz="1"/>
            </w:tcBorders>
            <w:shd w:fill="E2F0E8" w:val="clear"/>
            <w:tcMar>
              <w:top w:type="dxa" w:w="80"/>
              <w:left w:type="dxa" w:w="120"/>
              <w:bottom w:type="dxa" w:w="80"/>
              <w:right w:type="dxa" w:w="120"/>
            </w:tcMar>
          </w:tcPr>
          <w:p>
            <w:r>
              <w:rPr>
                <w:rFonts w:ascii="Arial" w:cs="Arial" w:eastAsia="Arial" w:hAnsi="Arial"/>
                <w:color w:val="1D6B3E"/>
                <w:sz w:val="20"/>
                <w:szCs w:val="20"/>
              </w:rPr>
              <w:t xml:space="preserve">Set slightly above your daily profit target. Prevents one bad day wiping out multiple good days.</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D1F3C"/>
                <w:sz w:val="20"/>
                <w:szCs w:val="20"/>
              </w:rPr>
              <w:t xml:space="preserve">Weekly Profit Target ($)</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2E75B6"/>
                <w:sz w:val="20"/>
                <w:szCs w:val="20"/>
              </w:rPr>
              <w:t xml:space="preserve">$1,500–2,500</w:t>
            </w:r>
          </w:p>
        </w:tc>
        <w:tc>
          <w:tcPr>
            <w:tcW w:type="dxa" w:w="4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Set to 5x your daily profit target as a starting point.</w:t>
            </w:r>
          </w:p>
        </w:tc>
      </w:tr>
    </w:tbl>
    <w:p>
      <w:pPr>
        <w:spacing w:before="0" w:after="20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Session Times (adjust for your timezone)</w:t>
      </w:r>
    </w:p>
    <w:p>
      <w:pPr>
        <w:spacing w:before="0" w:after="80"/>
      </w:pPr>
      <w:r>
        <w:t xml:space="preserve"/>
      </w:r>
    </w:p>
    <w:p>
      <w:pPr>
        <w:spacing w:before="80" w:after="100"/>
        <w:ind w:left="0"/>
      </w:pPr>
      <w:r>
        <w:rPr>
          <w:rFonts w:ascii="Arial" w:cs="Arial" w:eastAsia="Arial" w:hAnsi="Arial"/>
          <w:color w:val="444444"/>
          <w:sz w:val="22"/>
          <w:szCs w:val="22"/>
        </w:rPr>
        <w:t xml:space="preserve">The times shown in the settings use the chart's timezone. The backtested settings in the screenshot used 03:00–08:00 for London and 08:00–15:59 for New York, which corresponds to Eastern Time (ET). Adjust accordingly.</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1800"/>
        <w:gridCol w:w="4560"/>
      </w:tblGrid>
      <w:tr>
        <w:tc>
          <w:tcPr>
            <w:tcW w:type="dxa" w:w="300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Setting</w:t>
            </w:r>
          </w:p>
        </w:tc>
        <w:tc>
          <w:tcPr>
            <w:tcW w:type="dxa" w:w="180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Optimum value</w:t>
            </w:r>
          </w:p>
        </w:tc>
        <w:tc>
          <w:tcPr>
            <w:tcW w:type="dxa" w:w="456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color w:val="FFFFFF"/>
                <w:sz w:val="20"/>
                <w:szCs w:val="20"/>
              </w:rPr>
              <w:t xml:space="preserve">Why</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D1F3C"/>
                <w:sz w:val="20"/>
                <w:szCs w:val="20"/>
              </w:rPr>
              <w:t xml:space="preserve">London Session Start</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2E75B6"/>
                <w:sz w:val="20"/>
                <w:szCs w:val="20"/>
              </w:rPr>
              <w:t xml:space="preserve">Match your broker</w:t>
            </w:r>
          </w:p>
        </w:tc>
        <w:tc>
          <w:tcPr>
            <w:tcW w:type="dxa" w:w="4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London opens at 08:00 GMT / 03:00 ET / 00:00 PT.</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D1F3C"/>
                <w:sz w:val="20"/>
                <w:szCs w:val="20"/>
              </w:rPr>
              <w:t xml:space="preserve">New York Session Start</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2E75B6"/>
                <w:sz w:val="20"/>
                <w:szCs w:val="20"/>
              </w:rPr>
              <w:t xml:space="preserve">Match your broker</w:t>
            </w:r>
          </w:p>
        </w:tc>
        <w:tc>
          <w:tcPr>
            <w:tcW w:type="dxa" w:w="4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New York opens at 13:30 GMT / 08:30 ET / 05:30 PT.</w:t>
            </w:r>
          </w:p>
        </w:tc>
      </w:tr>
      <w:tr>
        <w:tc>
          <w:tcPr>
            <w:tcW w:type="dxa" w:w="3000"/>
            <w:tcBorders>
              <w:top w:val="single" w:color="CCCCCC" w:sz="1"/>
              <w:left w:val="single" w:color="CCCCCC" w:sz="1"/>
              <w:bottom w:val="single" w:color="CCCCCC" w:sz="1"/>
              <w:right w:val="single" w:color="CCCCCC" w:sz="1"/>
            </w:tcBorders>
            <w:shd w:fill="E2F0E8" w:val="clear"/>
            <w:tcMar>
              <w:top w:type="dxa" w:w="80"/>
              <w:left w:type="dxa" w:w="120"/>
              <w:bottom w:type="dxa" w:w="80"/>
              <w:right w:type="dxa" w:w="120"/>
            </w:tcMar>
          </w:tcPr>
          <w:p>
            <w:r>
              <w:rPr>
                <w:rFonts w:ascii="Arial" w:cs="Arial" w:eastAsia="Arial" w:hAnsi="Arial"/>
                <w:b w:val="false"/>
                <w:bCs w:val="false"/>
                <w:color w:val="0D1F3C"/>
                <w:sz w:val="20"/>
                <w:szCs w:val="20"/>
              </w:rPr>
              <w:t xml:space="preserve">Flat Time</w:t>
            </w:r>
          </w:p>
        </w:tc>
        <w:tc>
          <w:tcPr>
            <w:tcW w:type="dxa" w:w="1800"/>
            <w:tcBorders>
              <w:top w:val="single" w:color="CCCCCC" w:sz="1"/>
              <w:left w:val="single" w:color="CCCCCC" w:sz="1"/>
              <w:bottom w:val="single" w:color="CCCCCC" w:sz="1"/>
              <w:right w:val="single" w:color="CCCCCC" w:sz="1"/>
            </w:tcBorders>
            <w:shd w:fill="E2F0E8" w:val="clear"/>
            <w:tcMar>
              <w:top w:type="dxa" w:w="80"/>
              <w:left w:type="dxa" w:w="120"/>
              <w:bottom w:type="dxa" w:w="80"/>
              <w:right w:type="dxa" w:w="120"/>
            </w:tcMar>
          </w:tcPr>
          <w:p>
            <w:r>
              <w:rPr>
                <w:rFonts w:ascii="Arial" w:cs="Arial" w:eastAsia="Arial" w:hAnsi="Arial"/>
                <w:b/>
                <w:bCs/>
                <w:color w:val="1D6B3E"/>
                <w:sz w:val="20"/>
                <w:szCs w:val="20"/>
              </w:rPr>
              <w:t xml:space="preserve">60 mins before session end</w:t>
            </w:r>
          </w:p>
        </w:tc>
        <w:tc>
          <w:tcPr>
            <w:tcW w:type="dxa" w:w="4560"/>
            <w:tcBorders>
              <w:top w:val="single" w:color="CCCCCC" w:sz="1"/>
              <w:left w:val="single" w:color="CCCCCC" w:sz="1"/>
              <w:bottom w:val="single" w:color="CCCCCC" w:sz="1"/>
              <w:right w:val="single" w:color="CCCCCC" w:sz="1"/>
            </w:tcBorders>
            <w:shd w:fill="E2F0E8" w:val="clear"/>
            <w:tcMar>
              <w:top w:type="dxa" w:w="80"/>
              <w:left w:type="dxa" w:w="120"/>
              <w:bottom w:type="dxa" w:w="80"/>
              <w:right w:type="dxa" w:w="120"/>
            </w:tcMar>
          </w:tcPr>
          <w:p>
            <w:r>
              <w:rPr>
                <w:rFonts w:ascii="Arial" w:cs="Arial" w:eastAsia="Arial" w:hAnsi="Arial"/>
                <w:color w:val="1D6B3E"/>
                <w:sz w:val="20"/>
                <w:szCs w:val="20"/>
              </w:rPr>
              <w:t xml:space="preserve">Closing 60 minutes before session end avoids the flat-exit problem where late trades get closed at a loss.</w:t>
            </w:r>
          </w:p>
        </w:tc>
      </w:tr>
    </w:tbl>
    <w:p>
      <w:pPr>
        <w:spacing w:before="0" w:after="20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Blackout Windows — Recommended Configuration</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1800"/>
        <w:gridCol w:w="4560"/>
      </w:tblGrid>
      <w:tr>
        <w:tc>
          <w:tcPr>
            <w:tcW w:type="dxa" w:w="300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Setting</w:t>
            </w:r>
          </w:p>
        </w:tc>
        <w:tc>
          <w:tcPr>
            <w:tcW w:type="dxa" w:w="180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Optimum value</w:t>
            </w:r>
          </w:p>
        </w:tc>
        <w:tc>
          <w:tcPr>
            <w:tcW w:type="dxa" w:w="456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color w:val="FFFFFF"/>
                <w:sz w:val="20"/>
                <w:szCs w:val="20"/>
              </w:rPr>
              <w:t xml:space="preserve">Why</w:t>
            </w:r>
          </w:p>
        </w:tc>
      </w:tr>
      <w:tr>
        <w:tc>
          <w:tcPr>
            <w:tcW w:type="dxa" w:w="3000"/>
            <w:tcBorders>
              <w:top w:val="single" w:color="CCCCCC" w:sz="1"/>
              <w:left w:val="single" w:color="CCCCCC" w:sz="1"/>
              <w:bottom w:val="single" w:color="CCCCCC" w:sz="1"/>
              <w:right w:val="single" w:color="CCCCCC" w:sz="1"/>
            </w:tcBorders>
            <w:shd w:fill="E2F0E8" w:val="clear"/>
            <w:tcMar>
              <w:top w:type="dxa" w:w="80"/>
              <w:left w:type="dxa" w:w="120"/>
              <w:bottom w:type="dxa" w:w="80"/>
              <w:right w:type="dxa" w:w="120"/>
            </w:tcMar>
          </w:tcPr>
          <w:p>
            <w:r>
              <w:rPr>
                <w:rFonts w:ascii="Arial" w:cs="Arial" w:eastAsia="Arial" w:hAnsi="Arial"/>
                <w:b w:val="false"/>
                <w:bCs w:val="false"/>
                <w:color w:val="0D1F3C"/>
                <w:sz w:val="20"/>
                <w:szCs w:val="20"/>
              </w:rPr>
              <w:t xml:space="preserve">Blackout 1</w:t>
            </w:r>
          </w:p>
        </w:tc>
        <w:tc>
          <w:tcPr>
            <w:tcW w:type="dxa" w:w="1800"/>
            <w:tcBorders>
              <w:top w:val="single" w:color="CCCCCC" w:sz="1"/>
              <w:left w:val="single" w:color="CCCCCC" w:sz="1"/>
              <w:bottom w:val="single" w:color="CCCCCC" w:sz="1"/>
              <w:right w:val="single" w:color="CCCCCC" w:sz="1"/>
            </w:tcBorders>
            <w:shd w:fill="E2F0E8" w:val="clear"/>
            <w:tcMar>
              <w:top w:type="dxa" w:w="80"/>
              <w:left w:type="dxa" w:w="120"/>
              <w:bottom w:type="dxa" w:w="80"/>
              <w:right w:type="dxa" w:w="120"/>
            </w:tcMar>
          </w:tcPr>
          <w:p>
            <w:r>
              <w:rPr>
                <w:rFonts w:ascii="Arial" w:cs="Arial" w:eastAsia="Arial" w:hAnsi="Arial"/>
                <w:b/>
                <w:bCs/>
                <w:color w:val="1D6B3E"/>
                <w:sz w:val="20"/>
                <w:szCs w:val="20"/>
              </w:rPr>
              <w:t xml:space="preserve">16:00 to Flat Time</w:t>
            </w:r>
          </w:p>
        </w:tc>
        <w:tc>
          <w:tcPr>
            <w:tcW w:type="dxa" w:w="4560"/>
            <w:tcBorders>
              <w:top w:val="single" w:color="CCCCCC" w:sz="1"/>
              <w:left w:val="single" w:color="CCCCCC" w:sz="1"/>
              <w:bottom w:val="single" w:color="CCCCCC" w:sz="1"/>
              <w:right w:val="single" w:color="CCCCCC" w:sz="1"/>
            </w:tcBorders>
            <w:shd w:fill="E2F0E8" w:val="clear"/>
            <w:tcMar>
              <w:top w:type="dxa" w:w="80"/>
              <w:left w:type="dxa" w:w="120"/>
              <w:bottom w:type="dxa" w:w="80"/>
              <w:right w:type="dxa" w:w="120"/>
            </w:tcMar>
          </w:tcPr>
          <w:p>
            <w:r>
              <w:rPr>
                <w:rFonts w:ascii="Arial" w:cs="Arial" w:eastAsia="Arial" w:hAnsi="Arial"/>
                <w:color w:val="1D6B3E"/>
                <w:sz w:val="20"/>
                <w:szCs w:val="20"/>
              </w:rPr>
              <w:t xml:space="preserve">Blocks late-session entries. Data shows 4 of 8 flat-exit losses came from entries after 16:00.</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D1F3C"/>
                <w:sz w:val="20"/>
                <w:szCs w:val="20"/>
              </w:rPr>
              <w:t xml:space="preserve">Blackout 2 (optional)</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2E75B6"/>
                <w:sz w:val="20"/>
                <w:szCs w:val="20"/>
              </w:rPr>
              <w:t xml:space="preserve">Mon 09:00–10:00</w:t>
            </w:r>
          </w:p>
        </w:tc>
        <w:tc>
          <w:tcPr>
            <w:tcW w:type="dxa" w:w="4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First hour of US open on Mondays is frequently the most erratic. Consider blocking.</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D1F3C"/>
                <w:sz w:val="20"/>
                <w:szCs w:val="20"/>
              </w:rPr>
              <w:t xml:space="preserve">Blackout 3–4</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2E75B6"/>
                <w:sz w:val="20"/>
                <w:szCs w:val="20"/>
              </w:rPr>
              <w:t xml:space="preserve">As needed</w:t>
            </w:r>
          </w:p>
        </w:tc>
        <w:tc>
          <w:tcPr>
            <w:tcW w:type="dxa" w:w="4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Use around known high-impact events: FOMC (Wed), NFP (first Fri of month), CPI.</w:t>
            </w:r>
          </w:p>
        </w:tc>
      </w:tr>
    </w:tbl>
    <w:p>
      <w:pPr>
        <w:spacing w:before="0" w:after="20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Trading Days</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1800"/>
        <w:gridCol w:w="4560"/>
      </w:tblGrid>
      <w:tr>
        <w:tc>
          <w:tcPr>
            <w:tcW w:type="dxa" w:w="300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Setting</w:t>
            </w:r>
          </w:p>
        </w:tc>
        <w:tc>
          <w:tcPr>
            <w:tcW w:type="dxa" w:w="180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Optimum value</w:t>
            </w:r>
          </w:p>
        </w:tc>
        <w:tc>
          <w:tcPr>
            <w:tcW w:type="dxa" w:w="456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color w:val="FFFFFF"/>
                <w:sz w:val="20"/>
                <w:szCs w:val="20"/>
              </w:rPr>
              <w:t xml:space="preserve">Why</w:t>
            </w:r>
          </w:p>
        </w:tc>
      </w:tr>
      <w:tr>
        <w:tc>
          <w:tcPr>
            <w:tcW w:type="dxa" w:w="3000"/>
            <w:tcBorders>
              <w:top w:val="single" w:color="CCCCCC" w:sz="1"/>
              <w:left w:val="single" w:color="CCCCCC" w:sz="1"/>
              <w:bottom w:val="single" w:color="CCCCCC" w:sz="1"/>
              <w:right w:val="single" w:color="CCCCCC" w:sz="1"/>
            </w:tcBorders>
            <w:shd w:fill="E2F0E8" w:val="clear"/>
            <w:tcMar>
              <w:top w:type="dxa" w:w="80"/>
              <w:left w:type="dxa" w:w="120"/>
              <w:bottom w:type="dxa" w:w="80"/>
              <w:right w:type="dxa" w:w="120"/>
            </w:tcMar>
          </w:tcPr>
          <w:p>
            <w:r>
              <w:rPr>
                <w:rFonts w:ascii="Arial" w:cs="Arial" w:eastAsia="Arial" w:hAnsi="Arial"/>
                <w:b w:val="false"/>
                <w:bCs w:val="false"/>
                <w:color w:val="0D1F3C"/>
                <w:sz w:val="20"/>
                <w:szCs w:val="20"/>
              </w:rPr>
              <w:t xml:space="preserve">Monday</w:t>
            </w:r>
          </w:p>
        </w:tc>
        <w:tc>
          <w:tcPr>
            <w:tcW w:type="dxa" w:w="1800"/>
            <w:tcBorders>
              <w:top w:val="single" w:color="CCCCCC" w:sz="1"/>
              <w:left w:val="single" w:color="CCCCCC" w:sz="1"/>
              <w:bottom w:val="single" w:color="CCCCCC" w:sz="1"/>
              <w:right w:val="single" w:color="CCCCCC" w:sz="1"/>
            </w:tcBorders>
            <w:shd w:fill="E2F0E8" w:val="clear"/>
            <w:tcMar>
              <w:top w:type="dxa" w:w="80"/>
              <w:left w:type="dxa" w:w="120"/>
              <w:bottom w:type="dxa" w:w="80"/>
              <w:right w:type="dxa" w:w="120"/>
            </w:tcMar>
          </w:tcPr>
          <w:p>
            <w:r>
              <w:rPr>
                <w:rFonts w:ascii="Arial" w:cs="Arial" w:eastAsia="Arial" w:hAnsi="Arial"/>
                <w:b/>
                <w:bCs/>
                <w:color w:val="1D6B3E"/>
                <w:sz w:val="20"/>
                <w:szCs w:val="20"/>
              </w:rPr>
              <w:t xml:space="preserve">Consider OFF</w:t>
            </w:r>
          </w:p>
        </w:tc>
        <w:tc>
          <w:tcPr>
            <w:tcW w:type="dxa" w:w="4560"/>
            <w:tcBorders>
              <w:top w:val="single" w:color="CCCCCC" w:sz="1"/>
              <w:left w:val="single" w:color="CCCCCC" w:sz="1"/>
              <w:bottom w:val="single" w:color="CCCCCC" w:sz="1"/>
              <w:right w:val="single" w:color="CCCCCC" w:sz="1"/>
            </w:tcBorders>
            <w:shd w:fill="E2F0E8" w:val="clear"/>
            <w:tcMar>
              <w:top w:type="dxa" w:w="80"/>
              <w:left w:type="dxa" w:w="120"/>
              <w:bottom w:type="dxa" w:w="80"/>
              <w:right w:type="dxa" w:w="120"/>
            </w:tcMar>
          </w:tcPr>
          <w:p>
            <w:r>
              <w:rPr>
                <w:rFonts w:ascii="Arial" w:cs="Arial" w:eastAsia="Arial" w:hAnsi="Arial"/>
                <w:color w:val="1D6B3E"/>
                <w:sz w:val="20"/>
                <w:szCs w:val="20"/>
              </w:rPr>
              <w:t xml:space="preserve">Backtested at -$6,063 over 12 months with 84.7% WR. Consistently underperforms.</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D1F3C"/>
                <w:sz w:val="20"/>
                <w:szCs w:val="20"/>
              </w:rPr>
              <w:t xml:space="preserve">Tuesday</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2E75B6"/>
                <w:sz w:val="20"/>
                <w:szCs w:val="20"/>
              </w:rPr>
              <w:t xml:space="preserve">ON</w:t>
            </w:r>
          </w:p>
        </w:tc>
        <w:tc>
          <w:tcPr>
            <w:tcW w:type="dxa" w:w="4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92.3% WR, +$7,971. Strong performer — always enable.</w:t>
            </w:r>
          </w:p>
        </w:tc>
      </w:tr>
      <w:tr>
        <w:tc>
          <w:tcPr>
            <w:tcW w:type="dxa" w:w="3000"/>
            <w:tcBorders>
              <w:top w:val="single" w:color="CCCCCC" w:sz="1"/>
              <w:left w:val="single" w:color="CCCCCC" w:sz="1"/>
              <w:bottom w:val="single" w:color="CCCCCC" w:sz="1"/>
              <w:right w:val="single" w:color="CCCCCC" w:sz="1"/>
            </w:tcBorders>
            <w:shd w:fill="E2F0E8" w:val="clear"/>
            <w:tcMar>
              <w:top w:type="dxa" w:w="80"/>
              <w:left w:type="dxa" w:w="120"/>
              <w:bottom w:type="dxa" w:w="80"/>
              <w:right w:type="dxa" w:w="120"/>
            </w:tcMar>
          </w:tcPr>
          <w:p>
            <w:r>
              <w:rPr>
                <w:rFonts w:ascii="Arial" w:cs="Arial" w:eastAsia="Arial" w:hAnsi="Arial"/>
                <w:b w:val="false"/>
                <w:bCs w:val="false"/>
                <w:color w:val="0D1F3C"/>
                <w:sz w:val="20"/>
                <w:szCs w:val="20"/>
              </w:rPr>
              <w:t xml:space="preserve">Wednesday</w:t>
            </w:r>
          </w:p>
        </w:tc>
        <w:tc>
          <w:tcPr>
            <w:tcW w:type="dxa" w:w="1800"/>
            <w:tcBorders>
              <w:top w:val="single" w:color="CCCCCC" w:sz="1"/>
              <w:left w:val="single" w:color="CCCCCC" w:sz="1"/>
              <w:bottom w:val="single" w:color="CCCCCC" w:sz="1"/>
              <w:right w:val="single" w:color="CCCCCC" w:sz="1"/>
            </w:tcBorders>
            <w:shd w:fill="E2F0E8" w:val="clear"/>
            <w:tcMar>
              <w:top w:type="dxa" w:w="80"/>
              <w:left w:type="dxa" w:w="120"/>
              <w:bottom w:type="dxa" w:w="80"/>
              <w:right w:type="dxa" w:w="120"/>
            </w:tcMar>
          </w:tcPr>
          <w:p>
            <w:r>
              <w:rPr>
                <w:rFonts w:ascii="Arial" w:cs="Arial" w:eastAsia="Arial" w:hAnsi="Arial"/>
                <w:b/>
                <w:bCs/>
                <w:color w:val="1D6B3E"/>
                <w:sz w:val="20"/>
                <w:szCs w:val="20"/>
              </w:rPr>
              <w:t xml:space="preserve">Consider OFF</w:t>
            </w:r>
          </w:p>
        </w:tc>
        <w:tc>
          <w:tcPr>
            <w:tcW w:type="dxa" w:w="4560"/>
            <w:tcBorders>
              <w:top w:val="single" w:color="CCCCCC" w:sz="1"/>
              <w:left w:val="single" w:color="CCCCCC" w:sz="1"/>
              <w:bottom w:val="single" w:color="CCCCCC" w:sz="1"/>
              <w:right w:val="single" w:color="CCCCCC" w:sz="1"/>
            </w:tcBorders>
            <w:shd w:fill="E2F0E8" w:val="clear"/>
            <w:tcMar>
              <w:top w:type="dxa" w:w="80"/>
              <w:left w:type="dxa" w:w="120"/>
              <w:bottom w:type="dxa" w:w="80"/>
              <w:right w:type="dxa" w:w="120"/>
            </w:tcMar>
          </w:tcPr>
          <w:p>
            <w:r>
              <w:rPr>
                <w:rFonts w:ascii="Arial" w:cs="Arial" w:eastAsia="Arial" w:hAnsi="Arial"/>
                <w:color w:val="1D6B3E"/>
                <w:sz w:val="20"/>
                <w:szCs w:val="20"/>
              </w:rPr>
              <w:t xml:space="preserve">Backtested at -$4,392. FOMC weeks particularly poor.</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D1F3C"/>
                <w:sz w:val="20"/>
                <w:szCs w:val="20"/>
              </w:rPr>
              <w:t xml:space="preserve">Thursday</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2E75B6"/>
                <w:sz w:val="20"/>
                <w:szCs w:val="20"/>
              </w:rPr>
              <w:t xml:space="preserve">ON</w:t>
            </w:r>
          </w:p>
        </w:tc>
        <w:tc>
          <w:tcPr>
            <w:tcW w:type="dxa" w:w="4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92.0% WR, +$5,547. Keep enabled.</w:t>
            </w:r>
          </w:p>
        </w:tc>
      </w:tr>
      <w:tr>
        <w:tc>
          <w:tcPr>
            <w:tcW w:type="dxa" w:w="3000"/>
            <w:tcBorders>
              <w:top w:val="single" w:color="CCCCCC" w:sz="1"/>
              <w:left w:val="single" w:color="CCCCCC" w:sz="1"/>
              <w:bottom w:val="single" w:color="CCCCCC" w:sz="1"/>
              <w:right w:val="single" w:color="CCCCCC" w:sz="1"/>
            </w:tcBorders>
            <w:shd w:fill="E2F0E8" w:val="clear"/>
            <w:tcMar>
              <w:top w:type="dxa" w:w="80"/>
              <w:left w:type="dxa" w:w="120"/>
              <w:bottom w:type="dxa" w:w="80"/>
              <w:right w:type="dxa" w:w="120"/>
            </w:tcMar>
          </w:tcPr>
          <w:p>
            <w:r>
              <w:rPr>
                <w:rFonts w:ascii="Arial" w:cs="Arial" w:eastAsia="Arial" w:hAnsi="Arial"/>
                <w:b w:val="false"/>
                <w:bCs w:val="false"/>
                <w:color w:val="0D1F3C"/>
                <w:sz w:val="20"/>
                <w:szCs w:val="20"/>
              </w:rPr>
              <w:t xml:space="preserve">Friday</w:t>
            </w:r>
          </w:p>
        </w:tc>
        <w:tc>
          <w:tcPr>
            <w:tcW w:type="dxa" w:w="1800"/>
            <w:tcBorders>
              <w:top w:val="single" w:color="CCCCCC" w:sz="1"/>
              <w:left w:val="single" w:color="CCCCCC" w:sz="1"/>
              <w:bottom w:val="single" w:color="CCCCCC" w:sz="1"/>
              <w:right w:val="single" w:color="CCCCCC" w:sz="1"/>
            </w:tcBorders>
            <w:shd w:fill="E2F0E8" w:val="clear"/>
            <w:tcMar>
              <w:top w:type="dxa" w:w="80"/>
              <w:left w:type="dxa" w:w="120"/>
              <w:bottom w:type="dxa" w:w="80"/>
              <w:right w:type="dxa" w:w="120"/>
            </w:tcMar>
          </w:tcPr>
          <w:p>
            <w:r>
              <w:rPr>
                <w:rFonts w:ascii="Arial" w:cs="Arial" w:eastAsia="Arial" w:hAnsi="Arial"/>
                <w:b/>
                <w:bCs/>
                <w:color w:val="1D6B3E"/>
                <w:sz w:val="20"/>
                <w:szCs w:val="20"/>
              </w:rPr>
              <w:t xml:space="preserve">ON</w:t>
            </w:r>
          </w:p>
        </w:tc>
        <w:tc>
          <w:tcPr>
            <w:tcW w:type="dxa" w:w="4560"/>
            <w:tcBorders>
              <w:top w:val="single" w:color="CCCCCC" w:sz="1"/>
              <w:left w:val="single" w:color="CCCCCC" w:sz="1"/>
              <w:bottom w:val="single" w:color="CCCCCC" w:sz="1"/>
              <w:right w:val="single" w:color="CCCCCC" w:sz="1"/>
            </w:tcBorders>
            <w:shd w:fill="E2F0E8" w:val="clear"/>
            <w:tcMar>
              <w:top w:type="dxa" w:w="80"/>
              <w:left w:type="dxa" w:w="120"/>
              <w:bottom w:type="dxa" w:w="80"/>
              <w:right w:type="dxa" w:w="120"/>
            </w:tcMar>
          </w:tcPr>
          <w:p>
            <w:r>
              <w:rPr>
                <w:rFonts w:ascii="Arial" w:cs="Arial" w:eastAsia="Arial" w:hAnsi="Arial"/>
                <w:color w:val="1D6B3E"/>
                <w:sz w:val="20"/>
                <w:szCs w:val="20"/>
              </w:rPr>
              <w:t xml:space="preserve">Best day: 95.7% WR, +$12,510. Never disable.</w:t>
            </w:r>
          </w:p>
        </w:tc>
      </w:tr>
    </w:tbl>
    <w:p>
      <w:pPr>
        <w:spacing w:before="0" w:after="200"/>
      </w:pPr>
      <w:r>
        <w:t xml:space="preserve"/>
      </w:r>
    </w:p>
    <w:p>
      <w:r>
        <w:br w:type="page"/>
      </w:r>
    </w:p>
    <w:p>
      <w:pPr>
        <w:pStyle w:val="Heading1"/>
        <w:pBdr>
          <w:bottom w:val="single" w:color="2E75B6" w:sz="4" w:space="1"/>
        </w:pBdr>
        <w:shd w:fill="0D1F3C" w:val="clear"/>
        <w:spacing w:before="0" w:after="200"/>
        <w:ind w:left="280" w:right="280"/>
      </w:pPr>
      <w:r>
        <w:rPr>
          <w:rFonts w:ascii="Arial" w:cs="Arial" w:eastAsia="Arial" w:hAnsi="Arial"/>
          <w:b/>
          <w:bCs/>
          <w:color w:val="FFFFFF"/>
          <w:sz w:val="36"/>
          <w:szCs w:val="36"/>
        </w:rPr>
        <w:t xml:space="preserve">7.  Reading the On-Chart Tables</w:t>
      </w:r>
    </w:p>
    <w:p>
      <w:pPr>
        <w:spacing w:before="0" w:after="10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Last 10 Trades Table (Bottom Right)</w:t>
      </w:r>
    </w:p>
    <w:p>
      <w:pPr>
        <w:spacing w:before="80" w:after="100"/>
        <w:ind w:left="0"/>
      </w:pPr>
      <w:r>
        <w:rPr>
          <w:rFonts w:ascii="Arial" w:cs="Arial" w:eastAsia="Arial" w:hAnsi="Arial"/>
          <w:color w:val="444444"/>
          <w:sz w:val="22"/>
          <w:szCs w:val="22"/>
        </w:rPr>
        <w:t xml:space="preserve">Displays the 10 most recent closed trades from the current week. Resets every Monday.</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1800"/>
        <w:gridCol w:w="4360"/>
      </w:tblGrid>
      <w:tr>
        <w:tc>
          <w:tcPr>
            <w:tcW w:type="dxa" w:w="320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Setting</w:t>
            </w:r>
          </w:p>
        </w:tc>
        <w:tc>
          <w:tcPr>
            <w:tcW w:type="dxa" w:w="180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Default</w:t>
            </w:r>
          </w:p>
        </w:tc>
        <w:tc>
          <w:tcPr>
            <w:tcW w:type="dxa" w:w="436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What it does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 column</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2E75B6"/>
                <w:sz w:val="20"/>
                <w:szCs w:val="20"/>
              </w:rPr>
              <w:t xml:space="preserve">Trade number</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Sequential number for the trade across the full backtest or live session.</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Result column</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val="false"/>
                <w:bCs w:val="false"/>
                <w:color w:val="2E75B6"/>
                <w:sz w:val="20"/>
                <w:szCs w:val="20"/>
              </w:rPr>
              <w:t xml:space="preserve">W or L</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Green W = winning trade. Red L = losing trade.</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P&amp;L ($) column</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2E75B6"/>
                <w:sz w:val="20"/>
                <w:szCs w:val="20"/>
              </w:rPr>
              <w:t xml:space="preserve">Dollar P&amp;L</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The net profit or loss of that specific trade after commissions.</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Cumul $ column</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val="false"/>
                <w:bCs w:val="false"/>
                <w:color w:val="2E75B6"/>
                <w:sz w:val="20"/>
                <w:szCs w:val="20"/>
              </w:rPr>
              <w:t xml:space="preserve">Running total</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Cumulative P&amp;L across the 10 trades shown — resets each week.</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Day P&amp;L row</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2E75B6"/>
                <w:sz w:val="20"/>
                <w:szCs w:val="20"/>
              </w:rPr>
              <w:t xml:space="preserve">Today's P&amp;L</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Total realised P&amp;L for the current trading day from closed trades only.</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WR: row</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val="false"/>
                <w:bCs w:val="false"/>
                <w:color w:val="2E75B6"/>
                <w:sz w:val="20"/>
                <w:szCs w:val="20"/>
              </w:rPr>
              <w:t xml:space="preserve">This week's WR</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Win rate calculated from trades taken this week only. Resets Monday.</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Status indicator</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2E75B6"/>
                <w:sz w:val="20"/>
                <w:szCs w:val="20"/>
              </w:rPr>
              <w:t xml:space="preserve">Bot state</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Shows TRADING, TARGET HIT, or LOSS LIMIT.</w:t>
            </w:r>
          </w:p>
        </w:tc>
      </w:tr>
    </w:tbl>
    <w:p>
      <w:pPr>
        <w:spacing w:before="0" w:after="20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Session &amp; Weekly Summary Table (Bottom Left)</w:t>
      </w:r>
    </w:p>
    <w:p>
      <w:pPr>
        <w:spacing w:before="80" w:after="100"/>
        <w:ind w:left="0"/>
      </w:pPr>
      <w:r>
        <w:rPr>
          <w:rFonts w:ascii="Arial" w:cs="Arial" w:eastAsia="Arial" w:hAnsi="Arial"/>
          <w:color w:val="444444"/>
          <w:sz w:val="22"/>
          <w:szCs w:val="22"/>
        </w:rPr>
        <w:t xml:space="preserve">Shows real-time session P&amp;L and the current bot status. The top banner is the most important row — it tells you at a glance whether the bot is active or has been stopped for any reason.</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1800"/>
        <w:gridCol w:w="4360"/>
      </w:tblGrid>
      <w:tr>
        <w:tc>
          <w:tcPr>
            <w:tcW w:type="dxa" w:w="320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Setting</w:t>
            </w:r>
          </w:p>
        </w:tc>
        <w:tc>
          <w:tcPr>
            <w:tcW w:type="dxa" w:w="180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Default</w:t>
            </w:r>
          </w:p>
        </w:tc>
        <w:tc>
          <w:tcPr>
            <w:tcW w:type="dxa" w:w="4360"/>
            <w:tcBorders>
              <w:top w:val="single" w:color="CCCCCC" w:sz="1"/>
              <w:left w:val="single" w:color="CCCCCC" w:sz="1"/>
              <w:bottom w:val="single" w:color="CCCCCC" w:sz="1"/>
              <w:right w:val="single" w:color="CCCCCC"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What it does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BOT STATUS banner</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2E75B6"/>
                <w:sz w:val="20"/>
                <w:szCs w:val="20"/>
              </w:rPr>
              <w:t xml:space="preserve">Master status</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Colour-coded: Green = Active scanning. Teal = Target hit. Maroon = Loss limit. Purple = Blackout. Grey = Day off or out of session. Blue = In a trade.</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London row</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val="false"/>
                <w:bCs w:val="false"/>
                <w:color w:val="2E75B6"/>
                <w:sz w:val="20"/>
                <w:szCs w:val="20"/>
              </w:rPr>
              <w:t xml:space="preserve">London session</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Shows trade count and P&amp;L for the London session today. Lock icon = not yet opened.</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New York row</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2E75B6"/>
                <w:sz w:val="20"/>
                <w:szCs w:val="20"/>
              </w:rPr>
              <w:t xml:space="preserve">NY session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Shows trade count and P&amp;L for the NY session today.</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Week row</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val="false"/>
                <w:bCs w:val="false"/>
                <w:color w:val="2E75B6"/>
                <w:sz w:val="20"/>
                <w:szCs w:val="20"/>
              </w:rPr>
              <w:t xml:space="preserve">Weekly totals</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Total trades and P&amp;L for the current week. Shows 'Target hit!' when weekly target is reached.</w:t>
            </w:r>
          </w:p>
        </w:tc>
      </w:tr>
    </w:tbl>
    <w:p>
      <w:pPr>
        <w:spacing w:before="0" w:after="200"/>
      </w:pPr>
      <w:r>
        <w:t xml:space="preserve"/>
      </w:r>
    </w:p>
    <w:p>
      <w:r>
        <w:br w:type="page"/>
      </w:r>
    </w:p>
    <w:p>
      <w:pPr>
        <w:pStyle w:val="Heading1"/>
        <w:pBdr>
          <w:bottom w:val="single" w:color="2E75B6" w:sz="4" w:space="1"/>
        </w:pBdr>
        <w:shd w:fill="0D1F3C" w:val="clear"/>
        <w:spacing w:before="0" w:after="200"/>
        <w:ind w:left="280" w:right="280"/>
      </w:pPr>
      <w:r>
        <w:rPr>
          <w:rFonts w:ascii="Arial" w:cs="Arial" w:eastAsia="Arial" w:hAnsi="Arial"/>
          <w:b/>
          <w:bCs/>
          <w:color w:val="FFFFFF"/>
          <w:sz w:val="36"/>
          <w:szCs w:val="36"/>
        </w:rPr>
        <w:t xml:space="preserve">8.  Getting Started — Step by Step</w:t>
      </w:r>
    </w:p>
    <w:p>
      <w:pPr>
        <w:spacing w:before="0" w:after="10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Step 1 — Add the Strategy to Your Chart</w:t>
      </w:r>
    </w:p>
    <w:p>
      <w:pPr>
        <w:pStyle w:val="ListParagraph"/>
        <w:numPr>
          <w:ilvl w:val="0"/>
          <w:numId w:val="3"/>
        </w:numPr>
        <w:spacing w:before="60" w:after="60"/>
      </w:pPr>
      <w:r>
        <w:rPr>
          <w:rFonts w:ascii="Arial" w:cs="Arial" w:eastAsia="Arial" w:hAnsi="Arial"/>
          <w:color w:val="444444"/>
          <w:sz w:val="22"/>
          <w:szCs w:val="22"/>
        </w:rPr>
        <w:t xml:space="preserve">Open TradingView and navigate to the MNQ1! or NQ1! chart.</w:t>
      </w:r>
    </w:p>
    <w:p>
      <w:pPr>
        <w:pStyle w:val="ListParagraph"/>
        <w:numPr>
          <w:ilvl w:val="0"/>
          <w:numId w:val="3"/>
        </w:numPr>
        <w:spacing w:before="60" w:after="60"/>
      </w:pPr>
      <w:r>
        <w:rPr>
          <w:rFonts w:ascii="Arial" w:cs="Arial" w:eastAsia="Arial" w:hAnsi="Arial"/>
          <w:color w:val="444444"/>
          <w:sz w:val="22"/>
          <w:szCs w:val="22"/>
        </w:rPr>
        <w:t xml:space="preserve">Set the timeframe to 5 minutes.</w:t>
      </w:r>
    </w:p>
    <w:p>
      <w:pPr>
        <w:pStyle w:val="ListParagraph"/>
        <w:numPr>
          <w:ilvl w:val="0"/>
          <w:numId w:val="3"/>
        </w:numPr>
        <w:spacing w:before="60" w:after="60"/>
      </w:pPr>
      <w:r>
        <w:rPr>
          <w:rFonts w:ascii="Arial" w:cs="Arial" w:eastAsia="Arial" w:hAnsi="Arial"/>
          <w:color w:val="444444"/>
          <w:sz w:val="22"/>
          <w:szCs w:val="22"/>
        </w:rPr>
        <w:t xml:space="preserve">Open the Pine Script editor (bottom panel) and paste the strategy code.</w:t>
      </w:r>
    </w:p>
    <w:p>
      <w:pPr>
        <w:pStyle w:val="ListParagraph"/>
        <w:numPr>
          <w:ilvl w:val="0"/>
          <w:numId w:val="3"/>
        </w:numPr>
        <w:spacing w:before="60" w:after="60"/>
      </w:pPr>
      <w:r>
        <w:rPr>
          <w:rFonts w:ascii="Arial" w:cs="Arial" w:eastAsia="Arial" w:hAnsi="Arial"/>
          <w:color w:val="444444"/>
          <w:sz w:val="22"/>
          <w:szCs w:val="22"/>
        </w:rPr>
        <w:t xml:space="preserve">Click Add to chart. The strategy will appear in your chart window.</w:t>
      </w:r>
    </w:p>
    <w:p>
      <w:pPr>
        <w:spacing w:before="0" w:after="14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Step 2 — Configure Settings</w:t>
      </w:r>
    </w:p>
    <w:p>
      <w:pPr>
        <w:pStyle w:val="ListParagraph"/>
        <w:numPr>
          <w:ilvl w:val="0"/>
          <w:numId w:val="3"/>
        </w:numPr>
        <w:spacing w:before="60" w:after="60"/>
      </w:pPr>
      <w:r>
        <w:rPr>
          <w:rFonts w:ascii="Arial" w:cs="Arial" w:eastAsia="Arial" w:hAnsi="Arial"/>
          <w:color w:val="444444"/>
          <w:sz w:val="22"/>
          <w:szCs w:val="22"/>
        </w:rPr>
        <w:t xml:space="preserve">Click the gear icon (Settings) on the strategy name.</w:t>
      </w:r>
    </w:p>
    <w:p>
      <w:pPr>
        <w:pStyle w:val="ListParagraph"/>
        <w:numPr>
          <w:ilvl w:val="0"/>
          <w:numId w:val="3"/>
        </w:numPr>
        <w:spacing w:before="60" w:after="60"/>
      </w:pPr>
      <w:r>
        <w:rPr>
          <w:rFonts w:ascii="Arial" w:cs="Arial" w:eastAsia="Arial" w:hAnsi="Arial"/>
          <w:color w:val="444444"/>
          <w:sz w:val="22"/>
          <w:szCs w:val="22"/>
        </w:rPr>
        <w:t xml:space="preserve">Go to the Inputs tab.</w:t>
      </w:r>
    </w:p>
    <w:p>
      <w:pPr>
        <w:pStyle w:val="ListParagraph"/>
        <w:numPr>
          <w:ilvl w:val="0"/>
          <w:numId w:val="3"/>
        </w:numPr>
        <w:spacing w:before="60" w:after="60"/>
      </w:pPr>
      <w:r>
        <w:rPr>
          <w:rFonts w:ascii="Arial" w:cs="Arial" w:eastAsia="Arial" w:hAnsi="Arial"/>
          <w:color w:val="444444"/>
          <w:sz w:val="22"/>
          <w:szCs w:val="22"/>
        </w:rPr>
        <w:t xml:space="preserve">Work through each section using the optimum settings table in Section 6.</w:t>
      </w:r>
    </w:p>
    <w:p>
      <w:pPr>
        <w:pStyle w:val="ListParagraph"/>
        <w:numPr>
          <w:ilvl w:val="0"/>
          <w:numId w:val="3"/>
        </w:numPr>
        <w:spacing w:before="60" w:after="60"/>
      </w:pPr>
      <w:r>
        <w:rPr>
          <w:rFonts w:ascii="Arial" w:cs="Arial" w:eastAsia="Arial" w:hAnsi="Arial"/>
          <w:color w:val="444444"/>
          <w:sz w:val="22"/>
          <w:szCs w:val="22"/>
        </w:rPr>
        <w:t xml:space="preserve">Set your session times to match your broker's timezone display.</w:t>
      </w:r>
    </w:p>
    <w:p>
      <w:pPr>
        <w:pStyle w:val="ListParagraph"/>
        <w:numPr>
          <w:ilvl w:val="0"/>
          <w:numId w:val="3"/>
        </w:numPr>
        <w:spacing w:before="60" w:after="60"/>
      </w:pPr>
      <w:r>
        <w:rPr>
          <w:rFonts w:ascii="Arial" w:cs="Arial" w:eastAsia="Arial" w:hAnsi="Arial"/>
          <w:color w:val="444444"/>
          <w:sz w:val="22"/>
          <w:szCs w:val="22"/>
        </w:rPr>
        <w:t xml:space="preserve">Set your daily profit target and loss limit based on your account size.</w:t>
      </w:r>
    </w:p>
    <w:p>
      <w:pPr>
        <w:pStyle w:val="ListParagraph"/>
        <w:numPr>
          <w:ilvl w:val="0"/>
          <w:numId w:val="3"/>
        </w:numPr>
        <w:spacing w:before="60" w:after="60"/>
      </w:pPr>
      <w:r>
        <w:rPr>
          <w:rFonts w:ascii="Arial" w:cs="Arial" w:eastAsia="Arial" w:hAnsi="Arial"/>
          <w:color w:val="444444"/>
          <w:sz w:val="22"/>
          <w:szCs w:val="22"/>
        </w:rPr>
        <w:t xml:space="preserve">Ensure Backtest Mode is ON for initial testing.</w:t>
      </w:r>
    </w:p>
    <w:p>
      <w:pPr>
        <w:spacing w:before="0" w:after="14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Step 3 — Run the Backtest</w:t>
      </w:r>
    </w:p>
    <w:p>
      <w:pPr>
        <w:pStyle w:val="ListParagraph"/>
        <w:numPr>
          <w:ilvl w:val="0"/>
          <w:numId w:val="3"/>
        </w:numPr>
        <w:spacing w:before="60" w:after="60"/>
      </w:pPr>
      <w:r>
        <w:rPr>
          <w:rFonts w:ascii="Arial" w:cs="Arial" w:eastAsia="Arial" w:hAnsi="Arial"/>
          <w:color w:val="444444"/>
          <w:sz w:val="22"/>
          <w:szCs w:val="22"/>
        </w:rPr>
        <w:t xml:space="preserve">With Backtest Mode enabled, scroll back 12 months on your chart.</w:t>
      </w:r>
    </w:p>
    <w:p>
      <w:pPr>
        <w:pStyle w:val="ListParagraph"/>
        <w:numPr>
          <w:ilvl w:val="0"/>
          <w:numId w:val="3"/>
        </w:numPr>
        <w:spacing w:before="60" w:after="60"/>
      </w:pPr>
      <w:r>
        <w:rPr>
          <w:rFonts w:ascii="Arial" w:cs="Arial" w:eastAsia="Arial" w:hAnsi="Arial"/>
          <w:color w:val="444444"/>
          <w:sz w:val="22"/>
          <w:szCs w:val="22"/>
        </w:rPr>
        <w:t xml:space="preserve">The Strategy Tester panel (bottom) will show performance metrics.</w:t>
      </w:r>
    </w:p>
    <w:p>
      <w:pPr>
        <w:pStyle w:val="ListParagraph"/>
        <w:numPr>
          <w:ilvl w:val="0"/>
          <w:numId w:val="3"/>
        </w:numPr>
        <w:spacing w:before="60" w:after="60"/>
      </w:pPr>
      <w:r>
        <w:rPr>
          <w:rFonts w:ascii="Arial" w:cs="Arial" w:eastAsia="Arial" w:hAnsi="Arial"/>
          <w:color w:val="444444"/>
          <w:sz w:val="22"/>
          <w:szCs w:val="22"/>
        </w:rPr>
        <w:t xml:space="preserve">Review the equity curve — it should trend upward with minimal drawdown.</w:t>
      </w:r>
    </w:p>
    <w:p>
      <w:pPr>
        <w:pStyle w:val="ListParagraph"/>
        <w:numPr>
          <w:ilvl w:val="0"/>
          <w:numId w:val="3"/>
        </w:numPr>
        <w:spacing w:before="60" w:after="60"/>
      </w:pPr>
      <w:r>
        <w:rPr>
          <w:rFonts w:ascii="Arial" w:cs="Arial" w:eastAsia="Arial" w:hAnsi="Arial"/>
          <w:color w:val="444444"/>
          <w:sz w:val="22"/>
          <w:szCs w:val="22"/>
        </w:rPr>
        <w:t xml:space="preserve">Check the List of Trades tab to see individual trade entries and exits.</w:t>
      </w:r>
    </w:p>
    <w:p>
      <w:pPr>
        <w:pStyle w:val="ListParagraph"/>
        <w:numPr>
          <w:ilvl w:val="0"/>
          <w:numId w:val="3"/>
        </w:numPr>
        <w:spacing w:before="60" w:after="60"/>
      </w:pPr>
      <w:r>
        <w:rPr>
          <w:rFonts w:ascii="Arial" w:cs="Arial" w:eastAsia="Arial" w:hAnsi="Arial"/>
          <w:color w:val="444444"/>
          <w:sz w:val="22"/>
          <w:szCs w:val="22"/>
        </w:rPr>
        <w:t xml:space="preserve">Adjust settings if needed and re-run until you are satisfied.</w:t>
      </w:r>
    </w:p>
    <w:p>
      <w:pPr>
        <w:spacing w:before="0" w:after="14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Step 4 — Paper Trade</w:t>
      </w:r>
    </w:p>
    <w:p>
      <w:pPr>
        <w:pStyle w:val="ListParagraph"/>
        <w:numPr>
          <w:ilvl w:val="0"/>
          <w:numId w:val="3"/>
        </w:numPr>
        <w:spacing w:before="60" w:after="60"/>
      </w:pPr>
      <w:r>
        <w:rPr>
          <w:rFonts w:ascii="Arial" w:cs="Arial" w:eastAsia="Arial" w:hAnsi="Arial"/>
          <w:color w:val="444444"/>
          <w:sz w:val="22"/>
          <w:szCs w:val="22"/>
        </w:rPr>
        <w:t xml:space="preserve">Turn Backtest Mode OFF.</w:t>
      </w:r>
    </w:p>
    <w:p>
      <w:pPr>
        <w:pStyle w:val="ListParagraph"/>
        <w:numPr>
          <w:ilvl w:val="0"/>
          <w:numId w:val="3"/>
        </w:numPr>
        <w:spacing w:before="60" w:after="60"/>
      </w:pPr>
      <w:r>
        <w:rPr>
          <w:rFonts w:ascii="Arial" w:cs="Arial" w:eastAsia="Arial" w:hAnsi="Arial"/>
          <w:color w:val="444444"/>
          <w:sz w:val="22"/>
          <w:szCs w:val="22"/>
        </w:rPr>
        <w:t xml:space="preserve">Set the start date to today's date in Backtest Range settings.</w:t>
      </w:r>
    </w:p>
    <w:p>
      <w:pPr>
        <w:pStyle w:val="ListParagraph"/>
        <w:numPr>
          <w:ilvl w:val="0"/>
          <w:numId w:val="3"/>
        </w:numPr>
        <w:spacing w:before="60" w:after="60"/>
      </w:pPr>
      <w:r>
        <w:rPr>
          <w:rFonts w:ascii="Arial" w:cs="Arial" w:eastAsia="Arial" w:hAnsi="Arial"/>
          <w:color w:val="444444"/>
          <w:sz w:val="22"/>
          <w:szCs w:val="22"/>
        </w:rPr>
        <w:t xml:space="preserve">Watch the strategy in real-time for at least 2 weeks without taking any live trades.</w:t>
      </w:r>
    </w:p>
    <w:p>
      <w:pPr>
        <w:pStyle w:val="ListParagraph"/>
        <w:numPr>
          <w:ilvl w:val="0"/>
          <w:numId w:val="3"/>
        </w:numPr>
        <w:spacing w:before="60" w:after="60"/>
      </w:pPr>
      <w:r>
        <w:rPr>
          <w:rFonts w:ascii="Arial" w:cs="Arial" w:eastAsia="Arial" w:hAnsi="Arial"/>
          <w:color w:val="444444"/>
          <w:sz w:val="22"/>
          <w:szCs w:val="22"/>
        </w:rPr>
        <w:t xml:space="preserve">Verify the on-chart tables are displaying correctly.</w:t>
      </w:r>
    </w:p>
    <w:p>
      <w:pPr>
        <w:pStyle w:val="ListParagraph"/>
        <w:numPr>
          <w:ilvl w:val="0"/>
          <w:numId w:val="3"/>
        </w:numPr>
        <w:spacing w:before="60" w:after="60"/>
      </w:pPr>
      <w:r>
        <w:rPr>
          <w:rFonts w:ascii="Arial" w:cs="Arial" w:eastAsia="Arial" w:hAnsi="Arial"/>
          <w:color w:val="444444"/>
          <w:sz w:val="22"/>
          <w:szCs w:val="22"/>
        </w:rPr>
        <w:t xml:space="preserve">Check that the bot status banner updates correctly throughout each session.</w:t>
      </w:r>
    </w:p>
    <w:p>
      <w:pPr>
        <w:spacing w:before="0" w:after="14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Step 5 — Go Live</w:t>
      </w:r>
    </w:p>
    <w:p>
      <w:pPr>
        <w:pStyle w:val="ListParagraph"/>
        <w:numPr>
          <w:ilvl w:val="0"/>
          <w:numId w:val="3"/>
        </w:numPr>
        <w:spacing w:before="60" w:after="60"/>
      </w:pPr>
      <w:r>
        <w:rPr>
          <w:rFonts w:ascii="Arial" w:cs="Arial" w:eastAsia="Arial" w:hAnsi="Arial"/>
          <w:color w:val="444444"/>
          <w:sz w:val="22"/>
          <w:szCs w:val="22"/>
        </w:rPr>
        <w:t xml:space="preserve">Connect your TradingView account to your broker via the Broker Integration feature.</w:t>
      </w:r>
    </w:p>
    <w:p>
      <w:pPr>
        <w:pStyle w:val="ListParagraph"/>
        <w:numPr>
          <w:ilvl w:val="0"/>
          <w:numId w:val="3"/>
        </w:numPr>
        <w:spacing w:before="60" w:after="60"/>
      </w:pPr>
      <w:r>
        <w:rPr>
          <w:rFonts w:ascii="Arial" w:cs="Arial" w:eastAsia="Arial" w:hAnsi="Arial"/>
          <w:color w:val="444444"/>
          <w:sz w:val="22"/>
          <w:szCs w:val="22"/>
        </w:rPr>
        <w:t xml:space="preserve">Start with minimum contract size (1 MNQ contract = $2/point).</w:t>
      </w:r>
    </w:p>
    <w:p>
      <w:pPr>
        <w:pStyle w:val="ListParagraph"/>
        <w:numPr>
          <w:ilvl w:val="0"/>
          <w:numId w:val="3"/>
        </w:numPr>
        <w:spacing w:before="60" w:after="60"/>
      </w:pPr>
      <w:r>
        <w:rPr>
          <w:rFonts w:ascii="Arial" w:cs="Arial" w:eastAsia="Arial" w:hAnsi="Arial"/>
          <w:color w:val="444444"/>
          <w:sz w:val="22"/>
          <w:szCs w:val="22"/>
        </w:rPr>
        <w:t xml:space="preserve">Set conservative daily limits — start with $200 profit target and $150 loss limit.</w:t>
      </w:r>
    </w:p>
    <w:p>
      <w:pPr>
        <w:pStyle w:val="ListParagraph"/>
        <w:numPr>
          <w:ilvl w:val="0"/>
          <w:numId w:val="3"/>
        </w:numPr>
        <w:spacing w:before="60" w:after="60"/>
      </w:pPr>
      <w:r>
        <w:rPr>
          <w:rFonts w:ascii="Arial" w:cs="Arial" w:eastAsia="Arial" w:hAnsi="Arial"/>
          <w:color w:val="444444"/>
          <w:sz w:val="22"/>
          <w:szCs w:val="22"/>
        </w:rPr>
        <w:t xml:space="preserve">Scale up contract size gradually as you build confidence in the strategy.</w:t>
      </w:r>
    </w:p>
    <w:p>
      <w:pPr>
        <w:spacing w:before="0"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E75B6" w:sz="1"/>
              <w:left w:val="single" w:color="2E75B6" w:sz="1"/>
              <w:bottom w:val="single" w:color="2E75B6" w:sz="1"/>
              <w:right w:val="single" w:color="2E75B6" w:sz="1"/>
            </w:tcBorders>
            <w:shd w:fill="EAF4FB" w:val="clear"/>
            <w:tcMar>
              <w:top w:type="dxa" w:w="140"/>
              <w:left w:type="dxa" w:w="200"/>
              <w:bottom w:type="dxa" w:w="140"/>
              <w:right w:type="dxa" w:w="200"/>
            </w:tcMar>
          </w:tcPr>
          <w:p>
            <w:pPr>
              <w:spacing w:after="60"/>
            </w:pPr>
            <w:r>
              <w:rPr>
                <w:rFonts w:ascii="Arial" w:cs="Arial" w:eastAsia="Arial" w:hAnsi="Arial"/>
                <w:b/>
                <w:bCs/>
                <w:color w:val="2E75B6"/>
                <w:sz w:val="22"/>
                <w:szCs w:val="22"/>
              </w:rPr>
              <w:t xml:space="preserve">Critical reminder</w:t>
            </w:r>
          </w:p>
          <w:p>
            <w:pPr>
              <w:spacing w:after="0"/>
            </w:pPr>
            <w:r>
              <w:rPr>
                <w:rFonts w:ascii="Arial" w:cs="Arial" w:eastAsia="Arial" w:hAnsi="Arial"/>
                <w:color w:val="444444"/>
                <w:sz w:val="21"/>
                <w:szCs w:val="21"/>
              </w:rPr>
              <w:t xml:space="preserve">Always ensure Backtest Mode is set to OFF when trading live. With Backtest Mode on, the strategy places signals on every historical bar when the chart loads, which will produce incorrect live entries and exits.</w:t>
            </w:r>
          </w:p>
        </w:tc>
      </w:tr>
    </w:tbl>
    <w:p>
      <w:pPr>
        <w:spacing w:before="0" w:after="200"/>
      </w:pPr>
      <w:r>
        <w:t xml:space="preserve"/>
      </w:r>
    </w:p>
    <w:p>
      <w:r>
        <w:br w:type="page"/>
      </w:r>
    </w:p>
    <w:p>
      <w:pPr>
        <w:pStyle w:val="Heading1"/>
        <w:pBdr>
          <w:bottom w:val="single" w:color="2E75B6" w:sz="4" w:space="1"/>
        </w:pBdr>
        <w:shd w:fill="0D1F3C" w:val="clear"/>
        <w:spacing w:before="0" w:after="200"/>
        <w:ind w:left="280" w:right="280"/>
      </w:pPr>
      <w:r>
        <w:rPr>
          <w:rFonts w:ascii="Arial" w:cs="Arial" w:eastAsia="Arial" w:hAnsi="Arial"/>
          <w:b/>
          <w:bCs/>
          <w:color w:val="FFFFFF"/>
          <w:sz w:val="36"/>
          <w:szCs w:val="36"/>
        </w:rPr>
        <w:t xml:space="preserve">9.  Risk Disclaimer</w:t>
      </w:r>
    </w:p>
    <w:p>
      <w:pPr>
        <w:spacing w:before="0" w:after="100"/>
      </w:pPr>
      <w:r>
        <w:t xml:space="preserve"/>
      </w:r>
    </w:p>
    <w:p>
      <w:pPr>
        <w:spacing w:before="80" w:after="100"/>
        <w:ind w:left="0"/>
      </w:pPr>
      <w:r>
        <w:rPr>
          <w:rFonts w:ascii="Arial" w:cs="Arial" w:eastAsia="Arial" w:hAnsi="Arial"/>
          <w:color w:val="444444"/>
          <w:sz w:val="22"/>
          <w:szCs w:val="22"/>
        </w:rPr>
        <w:t xml:space="preserve">Trading futures carries significant financial risk and is not suitable for all investors. Past performance — including backtested results — is not indicative of future results. The performance figures shown in this guide were produced under specific market conditions during a specific period and may not be replicated.</w:t>
      </w:r>
    </w:p>
    <w:p>
      <w:pPr>
        <w:spacing w:before="0" w:after="80"/>
      </w:pPr>
      <w:r>
        <w:t xml:space="preserve"/>
      </w:r>
    </w:p>
    <w:p>
      <w:pPr>
        <w:spacing w:before="80" w:after="100"/>
        <w:ind w:left="0"/>
      </w:pPr>
      <w:r>
        <w:rPr>
          <w:rFonts w:ascii="Arial" w:cs="Arial" w:eastAsia="Arial" w:hAnsi="Arial"/>
          <w:color w:val="444444"/>
          <w:sz w:val="22"/>
          <w:szCs w:val="22"/>
        </w:rPr>
        <w:t xml:space="preserve">This strategy guide is provided for educational and informational purposes only. It does not constitute financial advice. You are solely responsible for your own trading decisions and for any profits or losses that result from using this strategy.</w:t>
      </w:r>
    </w:p>
    <w:p>
      <w:pPr>
        <w:spacing w:before="0" w:after="80"/>
      </w:pPr>
      <w:r>
        <w:t xml:space="preserve"/>
      </w:r>
    </w:p>
    <w:p>
      <w:pPr>
        <w:spacing w:before="80" w:after="100"/>
        <w:ind w:left="0"/>
      </w:pPr>
      <w:r>
        <w:rPr>
          <w:rFonts w:ascii="Arial" w:cs="Arial" w:eastAsia="Arial" w:hAnsi="Arial"/>
          <w:color w:val="444444"/>
          <w:sz w:val="22"/>
          <w:szCs w:val="22"/>
        </w:rPr>
        <w:t xml:space="preserve">Before trading with real money:</w:t>
      </w:r>
    </w:p>
    <w:p>
      <w:pPr>
        <w:pStyle w:val="ListParagraph"/>
        <w:numPr>
          <w:ilvl w:val="0"/>
          <w:numId w:val="2"/>
        </w:numPr>
        <w:spacing w:before="60" w:after="60"/>
      </w:pPr>
      <w:r>
        <w:rPr>
          <w:rFonts w:ascii="Arial" w:cs="Arial" w:eastAsia="Arial" w:hAnsi="Arial"/>
          <w:color w:val="444444"/>
          <w:sz w:val="22"/>
          <w:szCs w:val="22"/>
        </w:rPr>
        <w:t xml:space="preserve">Ensure you fully understand how futures contracts work, including margin requirements and overnight risk.</w:t>
      </w:r>
    </w:p>
    <w:p>
      <w:pPr>
        <w:pStyle w:val="ListParagraph"/>
        <w:numPr>
          <w:ilvl w:val="0"/>
          <w:numId w:val="2"/>
        </w:numPr>
        <w:spacing w:before="60" w:after="60"/>
      </w:pPr>
      <w:r>
        <w:rPr>
          <w:rFonts w:ascii="Arial" w:cs="Arial" w:eastAsia="Arial" w:hAnsi="Arial"/>
          <w:color w:val="444444"/>
          <w:sz w:val="22"/>
          <w:szCs w:val="22"/>
        </w:rPr>
        <w:t xml:space="preserve">Only trade with capital you can afford to lose.</w:t>
      </w:r>
    </w:p>
    <w:p>
      <w:pPr>
        <w:pStyle w:val="ListParagraph"/>
        <w:numPr>
          <w:ilvl w:val="0"/>
          <w:numId w:val="2"/>
        </w:numPr>
        <w:spacing w:before="60" w:after="60"/>
      </w:pPr>
      <w:r>
        <w:rPr>
          <w:rFonts w:ascii="Arial" w:cs="Arial" w:eastAsia="Arial" w:hAnsi="Arial"/>
          <w:color w:val="444444"/>
          <w:sz w:val="22"/>
          <w:szCs w:val="22"/>
        </w:rPr>
        <w:t xml:space="preserve">Consult a qualified financial adviser if you are unsure whether futures trading is appropriate for your circumstances.</w:t>
      </w:r>
    </w:p>
    <w:p>
      <w:pPr>
        <w:pStyle w:val="ListParagraph"/>
        <w:numPr>
          <w:ilvl w:val="0"/>
          <w:numId w:val="2"/>
        </w:numPr>
        <w:spacing w:before="60" w:after="60"/>
      </w:pPr>
      <w:r>
        <w:rPr>
          <w:rFonts w:ascii="Arial" w:cs="Arial" w:eastAsia="Arial" w:hAnsi="Arial"/>
          <w:color w:val="444444"/>
          <w:sz w:val="22"/>
          <w:szCs w:val="22"/>
        </w:rPr>
        <w:t xml:space="preserve">Be aware that live trading results can differ significantly from backtested results due to slippage, execution speed, market conditions, and other factors.</w:t>
      </w:r>
    </w:p>
    <w:p>
      <w:pPr>
        <w:spacing w:before="0" w:after="200"/>
      </w:pPr>
      <w:r>
        <w:t xml:space="preserve"/>
      </w:r>
    </w:p>
    <w:p>
      <w:pPr>
        <w:shd w:fill="0D1F3C" w:val="clear"/>
        <w:spacing w:before="0" w:after="0"/>
        <w:jc w:val="center"/>
      </w:pPr>
      <w:r>
        <w:rPr>
          <w:rFonts w:ascii="Arial" w:cs="Arial" w:eastAsia="Arial" w:hAnsi="Arial"/>
          <w:b/>
          <w:bCs/>
          <w:color w:val="FFFFFF"/>
          <w:sz w:val="28"/>
          <w:szCs w:val="28"/>
        </w:rPr>
        <w:t xml:space="preserve">Extreme Level Indicator  v1.0</w:t>
      </w:r>
    </w:p>
    <w:p>
      <w:pPr>
        <w:shd w:fill="0D1F3C" w:val="clear"/>
        <w:spacing w:before="0" w:after="0"/>
        <w:jc w:val="center"/>
      </w:pPr>
      <w:r>
        <w:rPr>
          <w:rFonts w:ascii="Arial" w:cs="Arial" w:eastAsia="Arial" w:hAnsi="Arial"/>
          <w:i/>
          <w:iCs/>
          <w:color w:val="D5E8F0"/>
          <w:sz w:val="20"/>
          <w:szCs w:val="20"/>
        </w:rPr>
        <w:t xml:space="preserve">Built for TradingView  |  Optimised for NQ / MNQ Futures</w:t>
      </w:r>
    </w:p>
    <w:p>
      <w:pPr>
        <w:shd w:fill="2E75B6" w:val="clear"/>
        <w:spacing w:before="0" w:after="0"/>
        <w:jc w:val="center"/>
      </w:pPr>
      <w:r>
        <w:rPr>
          <w:rFonts w:ascii="Arial" w:cs="Arial" w:eastAsia="Arial" w:hAnsi="Arial"/>
          <w:color w:val="FFFFFF"/>
          <w:sz w:val="20"/>
          <w:szCs w:val="20"/>
        </w:rPr>
        <w:t xml:space="preserve">90.3% Win Rate  |  +$13,503 P&amp;L  |  884 Trades  |  March 2025 – March 2026</w:t>
      </w:r>
    </w:p>
    <w:sectPr>
      <w:headerReference w:type="default" r:id="rId6"/>
      <w:footerReference w:type="default" r:id="rId7"/>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2E75B6" w:sz="4" w:space="1"/>
      </w:pBdr>
      <w:spacing w:before="60"/>
      <w:jc w:val="right"/>
    </w:pPr>
    <w:r>
      <w:rPr>
        <w:rFonts w:ascii="Arial" w:cs="Arial" w:eastAsia="Arial" w:hAnsi="Arial"/>
        <w:color w:val="888888"/>
        <w:sz w:val="18"/>
        <w:szCs w:val="18"/>
      </w:rPr>
      <w:t xml:space="preserve">Confidential  |  </w:t>
    </w:r>
    <w:r>
      <w:rPr>
        <w:rFonts w:ascii="Arial" w:cs="Arial" w:eastAsia="Arial" w:hAnsi="Arial"/>
        <w:color w:val="888888"/>
        <w:sz w:val="18"/>
        <w:szCs w:val="18"/>
      </w:rPr>
      <w:t xml:space="preserve">Page </w:t>
    </w:r>
    <w:r>
      <w:rPr>
        <w:rFonts w:ascii="Arial" w:cs="Arial" w:eastAsia="Arial" w:hAnsi="Arial"/>
        <w:color w:val="888888"/>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2E75B6" w:sz="4" w:space="1"/>
      </w:pBdr>
      <w:spacing w:after="0"/>
    </w:pPr>
    <w:r>
      <w:rPr>
        <w:rFonts w:ascii="Arial" w:cs="Arial" w:eastAsia="Arial" w:hAnsi="Arial"/>
        <w:color w:val="888888"/>
        <w:sz w:val="18"/>
        <w:szCs w:val="18"/>
      </w:rPr>
      <w:t xml:space="preserve">Extreme Level Indicator  v1.0  |  Trader's Guide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08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444444"/>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0" w:after="200"/>
      <w:outlineLvl w:val="0"/>
    </w:pPr>
    <w:rPr>
      <w:rFonts w:ascii="Arial" w:cs="Arial" w:eastAsia="Arial" w:hAnsi="Arial"/>
      <w:b/>
      <w:bCs/>
      <w:color w:val="FFFFFF"/>
      <w:sz w:val="36"/>
      <w:szCs w:val="36"/>
    </w:rPr>
  </w:style>
  <w:style w:type="paragraph" w:styleId="Heading2">
    <w:name w:val="Heading 2"/>
    <w:basedOn w:val="Normal"/>
    <w:next w:val="Normal"/>
    <w:qFormat/>
    <w:pPr>
      <w:spacing w:before="360" w:after="160"/>
      <w:outlineLvl w:val="1"/>
    </w:pPr>
    <w:rPr>
      <w:rFonts w:ascii="Arial" w:cs="Arial" w:eastAsia="Arial" w:hAnsi="Arial"/>
      <w:b/>
      <w:bCs/>
      <w:color w:val="FFFFFF"/>
      <w:sz w:val="28"/>
      <w:szCs w:val="28"/>
    </w:rPr>
  </w:style>
  <w:style w:type="paragraph" w:styleId="Heading3">
    <w:name w:val="Heading 3"/>
    <w:basedOn w:val="Normal"/>
    <w:next w:val="Normal"/>
    <w:qFormat/>
    <w:pPr>
      <w:spacing w:before="280" w:after="120"/>
      <w:outlineLvl w:val="2"/>
    </w:pPr>
    <w:rPr>
      <w:rFonts w:ascii="Arial" w:cs="Arial" w:eastAsia="Arial" w:hAnsi="Arial"/>
      <w:b/>
      <w:bCs/>
      <w:color w:val="0D1F3C"/>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2026-03-14T16:39:28.304Z</dcterms:created>
  <dcterms:modified xsi:type="dcterms:W3CDTF">2026-03-14T16:39:28.307Z</dcterms:modified>
</cp:coreProperties>
</file>

<file path=docProps/custom.xml><?xml version="1.0" encoding="utf-8"?>
<Properties xmlns="http://schemas.openxmlformats.org/officeDocument/2006/custom-properties" xmlns:vt="http://schemas.openxmlformats.org/officeDocument/2006/docPropsVTypes"/>
</file>